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3160C8">
      <w:pPr>
        <w:keepNext w:val="0"/>
        <w:keepLines w:val="0"/>
        <w:pageBreakBefore w:val="0"/>
        <w:widowControl w:val="0"/>
        <w:kinsoku/>
        <w:wordWrap/>
        <w:overflowPunct/>
        <w:topLinePunct w:val="0"/>
        <w:autoSpaceDE/>
        <w:autoSpaceDN/>
        <w:bidi w:val="0"/>
        <w:adjustRightInd w:val="0"/>
        <w:snapToGrid w:val="0"/>
        <w:ind w:left="-630" w:leftChars="-300"/>
        <w:jc w:val="center"/>
        <w:textAlignment w:val="auto"/>
        <w:outlineLvl w:val="0"/>
        <w:rPr>
          <w:rFonts w:hint="eastAsia" w:ascii="宋体" w:hAnsi="宋体" w:eastAsia="宋体" w:cs="宋体"/>
          <w:b/>
          <w:bCs w:val="0"/>
          <w:color w:val="auto"/>
          <w:sz w:val="72"/>
          <w:szCs w:val="72"/>
          <w:highlight w:val="none"/>
          <w:lang w:eastAsia="zh-CN"/>
        </w:rPr>
      </w:pPr>
      <w:bookmarkStart w:id="7" w:name="_GoBack"/>
      <w:bookmarkEnd w:id="7"/>
      <w:r>
        <w:rPr>
          <w:rFonts w:hint="eastAsia" w:ascii="宋体" w:hAnsi="宋体" w:eastAsia="宋体" w:cs="宋体"/>
          <w:b/>
          <w:bCs w:val="0"/>
          <w:color w:val="auto"/>
          <w:sz w:val="72"/>
          <w:szCs w:val="72"/>
          <w:highlight w:val="none"/>
          <w:lang w:eastAsia="zh-CN"/>
        </w:rPr>
        <w:drawing>
          <wp:inline distT="0" distB="0" distL="114300" distR="114300">
            <wp:extent cx="6003290" cy="8582660"/>
            <wp:effectExtent l="0" t="0" r="3810" b="2540"/>
            <wp:docPr id="106" name="图片 106" descr="cb4ab7cfc53e8202f0377b11477282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cb4ab7cfc53e8202f0377b11477282fe"/>
                    <pic:cNvPicPr>
                      <a:picLocks noChangeAspect="1"/>
                    </pic:cNvPicPr>
                  </pic:nvPicPr>
                  <pic:blipFill>
                    <a:blip r:embed="rId7"/>
                    <a:srcRect l="2785" t="3339" r="5707" b="1629"/>
                    <a:stretch>
                      <a:fillRect/>
                    </a:stretch>
                  </pic:blipFill>
                  <pic:spPr>
                    <a:xfrm>
                      <a:off x="0" y="0"/>
                      <a:ext cx="6003290" cy="8582660"/>
                    </a:xfrm>
                    <a:prstGeom prst="rect">
                      <a:avLst/>
                    </a:prstGeom>
                  </pic:spPr>
                </pic:pic>
              </a:graphicData>
            </a:graphic>
          </wp:inline>
        </w:drawing>
      </w:r>
    </w:p>
    <w:p w14:paraId="2043911B">
      <w:pPr>
        <w:keepNext w:val="0"/>
        <w:keepLines w:val="0"/>
        <w:pageBreakBefore w:val="0"/>
        <w:widowControl w:val="0"/>
        <w:kinsoku/>
        <w:wordWrap/>
        <w:overflowPunct/>
        <w:topLinePunct w:val="0"/>
        <w:autoSpaceDE/>
        <w:autoSpaceDN/>
        <w:bidi w:val="0"/>
        <w:adjustRightInd w:val="0"/>
        <w:snapToGrid w:val="0"/>
        <w:ind w:left="-630" w:leftChars="-300"/>
        <w:jc w:val="center"/>
        <w:textAlignment w:val="auto"/>
        <w:outlineLvl w:val="0"/>
        <w:rPr>
          <w:rFonts w:hint="eastAsia" w:ascii="宋体" w:hAnsi="宋体" w:eastAsia="宋体" w:cs="宋体"/>
          <w:b/>
          <w:bCs w:val="0"/>
          <w:color w:val="auto"/>
          <w:sz w:val="72"/>
          <w:szCs w:val="72"/>
          <w:highlight w:val="none"/>
          <w:lang w:eastAsia="zh-CN"/>
        </w:rPr>
      </w:pPr>
      <w:r>
        <w:rPr>
          <w:rFonts w:hint="eastAsia" w:ascii="宋体" w:hAnsi="宋体" w:eastAsia="宋体" w:cs="宋体"/>
          <w:b/>
          <w:bCs w:val="0"/>
          <w:color w:val="auto"/>
          <w:sz w:val="72"/>
          <w:szCs w:val="72"/>
          <w:highlight w:val="none"/>
          <w:lang w:eastAsia="zh-CN"/>
        </w:rPr>
        <w:drawing>
          <wp:inline distT="0" distB="0" distL="114300" distR="114300">
            <wp:extent cx="6402070" cy="8297545"/>
            <wp:effectExtent l="0" t="0" r="11430" b="8255"/>
            <wp:docPr id="100" name="图片 100" descr="2ea444d391deaf897128d2b09af34b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2ea444d391deaf897128d2b09af34b1c"/>
                    <pic:cNvPicPr>
                      <a:picLocks noChangeAspect="1"/>
                    </pic:cNvPicPr>
                  </pic:nvPicPr>
                  <pic:blipFill>
                    <a:blip r:embed="rId8"/>
                    <a:srcRect l="9544" t="3493" r="6391" b="30364"/>
                    <a:stretch>
                      <a:fillRect/>
                    </a:stretch>
                  </pic:blipFill>
                  <pic:spPr>
                    <a:xfrm>
                      <a:off x="0" y="0"/>
                      <a:ext cx="6402070" cy="8297545"/>
                    </a:xfrm>
                    <a:prstGeom prst="rect">
                      <a:avLst/>
                    </a:prstGeom>
                  </pic:spPr>
                </pic:pic>
              </a:graphicData>
            </a:graphic>
          </wp:inline>
        </w:drawing>
      </w:r>
    </w:p>
    <w:p w14:paraId="502EC53C">
      <w:pPr>
        <w:keepNext w:val="0"/>
        <w:keepLines w:val="0"/>
        <w:pageBreakBefore w:val="0"/>
        <w:widowControl w:val="0"/>
        <w:kinsoku/>
        <w:wordWrap/>
        <w:overflowPunct/>
        <w:topLinePunct w:val="0"/>
        <w:autoSpaceDE/>
        <w:autoSpaceDN/>
        <w:bidi w:val="0"/>
        <w:adjustRightInd/>
        <w:snapToGrid/>
        <w:ind w:left="-1050" w:leftChars="-500"/>
        <w:textAlignment w:val="auto"/>
        <w:rPr>
          <w:rFonts w:hint="eastAsia" w:eastAsiaTheme="minorEastAsia"/>
          <w:lang w:eastAsia="zh-CN"/>
        </w:rPr>
      </w:pPr>
    </w:p>
    <w:p w14:paraId="03FC278A">
      <w:pPr>
        <w:keepNext w:val="0"/>
        <w:keepLines w:val="0"/>
        <w:pageBreakBefore w:val="0"/>
        <w:widowControl w:val="0"/>
        <w:kinsoku/>
        <w:wordWrap/>
        <w:overflowPunct/>
        <w:topLinePunct w:val="0"/>
        <w:autoSpaceDE/>
        <w:autoSpaceDN/>
        <w:bidi w:val="0"/>
        <w:adjustRightInd w:val="0"/>
        <w:snapToGrid w:val="0"/>
        <w:jc w:val="both"/>
        <w:textAlignment w:val="auto"/>
        <w:outlineLvl w:val="0"/>
        <w:rPr>
          <w:rFonts w:hint="eastAsia" w:ascii="宋体" w:hAnsi="宋体" w:eastAsia="宋体" w:cs="宋体"/>
          <w:b/>
          <w:bCs w:val="0"/>
          <w:color w:val="auto"/>
          <w:sz w:val="72"/>
          <w:szCs w:val="72"/>
          <w:highlight w:val="none"/>
          <w:lang w:eastAsia="zh-CN"/>
        </w:rPr>
        <w:sectPr>
          <w:footerReference r:id="rId3"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438C6D15">
      <w:pPr>
        <w:adjustRightInd w:val="0"/>
        <w:snapToGrid w:val="0"/>
        <w:jc w:val="center"/>
        <w:outlineLvl w:val="0"/>
        <w:rPr>
          <w:rFonts w:hint="eastAsia" w:ascii="宋体" w:hAnsi="宋体" w:eastAsia="宋体" w:cs="宋体"/>
          <w:b/>
          <w:bCs w:val="0"/>
          <w:color w:val="auto"/>
          <w:sz w:val="72"/>
          <w:szCs w:val="72"/>
          <w:highlight w:val="none"/>
        </w:rPr>
      </w:pPr>
    </w:p>
    <w:p w14:paraId="71F38BD7">
      <w:pPr>
        <w:adjustRightInd w:val="0"/>
        <w:snapToGrid w:val="0"/>
        <w:jc w:val="center"/>
        <w:outlineLvl w:val="0"/>
        <w:rPr>
          <w:rFonts w:hint="eastAsia" w:ascii="宋体" w:hAnsi="宋体" w:eastAsia="宋体" w:cs="宋体"/>
          <w:b/>
          <w:bCs w:val="0"/>
          <w:color w:val="auto"/>
          <w:sz w:val="72"/>
          <w:szCs w:val="72"/>
          <w:highlight w:val="none"/>
        </w:rPr>
      </w:pPr>
    </w:p>
    <w:p w14:paraId="751BCA5E">
      <w:pPr>
        <w:adjustRightInd w:val="0"/>
        <w:snapToGrid w:val="0"/>
        <w:jc w:val="center"/>
        <w:outlineLvl w:val="0"/>
        <w:rPr>
          <w:rFonts w:hint="eastAsia" w:ascii="宋体" w:hAnsi="宋体" w:eastAsia="宋体" w:cs="宋体"/>
          <w:b/>
          <w:bCs w:val="0"/>
          <w:color w:val="auto"/>
          <w:sz w:val="60"/>
          <w:szCs w:val="60"/>
          <w:highlight w:val="none"/>
        </w:rPr>
      </w:pPr>
      <w:r>
        <w:rPr>
          <w:rFonts w:hint="eastAsia" w:ascii="宋体" w:hAnsi="宋体" w:eastAsia="宋体" w:cs="宋体"/>
          <w:b/>
          <w:bCs w:val="0"/>
          <w:color w:val="auto"/>
          <w:sz w:val="60"/>
          <w:szCs w:val="60"/>
          <w:highlight w:val="none"/>
        </w:rPr>
        <w:t>建设项目</w:t>
      </w:r>
      <w:r>
        <w:rPr>
          <w:rFonts w:hint="eastAsia" w:ascii="宋体" w:hAnsi="宋体" w:eastAsia="宋体" w:cs="宋体"/>
          <w:b/>
          <w:bCs w:val="0"/>
          <w:color w:val="auto"/>
          <w:sz w:val="60"/>
          <w:szCs w:val="60"/>
          <w:highlight w:val="none"/>
          <w:lang w:val="en-US" w:eastAsia="zh-CN"/>
        </w:rPr>
        <w:t>生态</w:t>
      </w:r>
      <w:r>
        <w:rPr>
          <w:rFonts w:hint="eastAsia" w:ascii="宋体" w:hAnsi="宋体" w:eastAsia="宋体" w:cs="宋体"/>
          <w:b/>
          <w:bCs w:val="0"/>
          <w:color w:val="auto"/>
          <w:sz w:val="60"/>
          <w:szCs w:val="60"/>
          <w:highlight w:val="none"/>
        </w:rPr>
        <w:t>环境影响报告表</w:t>
      </w:r>
    </w:p>
    <w:p w14:paraId="70828459">
      <w:pPr>
        <w:adjustRightInd w:val="0"/>
        <w:snapToGrid w:val="0"/>
        <w:spacing w:before="192" w:beforeLines="80"/>
        <w:jc w:val="center"/>
        <w:rPr>
          <w:rFonts w:hint="eastAsia" w:ascii="楷体_GB2312" w:eastAsia="楷体_GB2312"/>
          <w:bCs/>
          <w:color w:val="auto"/>
          <w:sz w:val="48"/>
          <w:szCs w:val="48"/>
          <w:highlight w:val="none"/>
        </w:rPr>
      </w:pPr>
      <w:r>
        <w:rPr>
          <w:rFonts w:hint="eastAsia" w:ascii="楷体_GB2312" w:eastAsia="楷体_GB2312"/>
          <w:bCs/>
          <w:color w:val="auto"/>
          <w:sz w:val="48"/>
          <w:szCs w:val="48"/>
          <w:highlight w:val="none"/>
        </w:rPr>
        <w:t>（污染影响类）</w:t>
      </w:r>
    </w:p>
    <w:p w14:paraId="13992F1F">
      <w:pPr>
        <w:adjustRightInd w:val="0"/>
        <w:snapToGrid w:val="0"/>
        <w:spacing w:line="288" w:lineRule="auto"/>
        <w:jc w:val="center"/>
        <w:outlineLvl w:val="0"/>
        <w:rPr>
          <w:rFonts w:ascii="华文仿宋" w:hAnsi="华文仿宋" w:eastAsia="华文仿宋" w:cs="华文仿宋"/>
          <w:color w:val="auto"/>
          <w:kern w:val="44"/>
          <w:sz w:val="44"/>
          <w:szCs w:val="44"/>
          <w:highlight w:val="none"/>
        </w:rPr>
      </w:pPr>
    </w:p>
    <w:p w14:paraId="79376EFC">
      <w:pPr>
        <w:jc w:val="center"/>
        <w:rPr>
          <w:rFonts w:eastAsia="仿宋"/>
          <w:color w:val="auto"/>
          <w:sz w:val="52"/>
          <w:szCs w:val="52"/>
          <w:highlight w:val="none"/>
        </w:rPr>
      </w:pPr>
    </w:p>
    <w:p w14:paraId="4FFEA058">
      <w:pPr>
        <w:ind w:firstLine="1040"/>
        <w:rPr>
          <w:rFonts w:eastAsia="仿宋"/>
          <w:color w:val="auto"/>
          <w:sz w:val="44"/>
          <w:szCs w:val="44"/>
          <w:highlight w:val="none"/>
        </w:rPr>
      </w:pPr>
    </w:p>
    <w:p w14:paraId="00BD4E0B">
      <w:pPr>
        <w:ind w:firstLine="1040"/>
        <w:rPr>
          <w:rFonts w:eastAsia="仿宋"/>
          <w:color w:val="auto"/>
          <w:sz w:val="44"/>
          <w:szCs w:val="44"/>
          <w:highlight w:val="none"/>
        </w:rPr>
      </w:pPr>
    </w:p>
    <w:p w14:paraId="26AED9C6">
      <w:pPr>
        <w:ind w:firstLine="1040"/>
        <w:rPr>
          <w:rFonts w:eastAsia="仿宋"/>
          <w:color w:val="auto"/>
          <w:sz w:val="44"/>
          <w:szCs w:val="44"/>
          <w:highlight w:val="none"/>
        </w:rPr>
      </w:pPr>
      <w:bookmarkStart w:id="0" w:name="_Hlk57884087"/>
    </w:p>
    <w:p w14:paraId="13A6440B">
      <w:pPr>
        <w:keepNext w:val="0"/>
        <w:keepLines w:val="0"/>
        <w:pageBreakBefore w:val="0"/>
        <w:widowControl w:val="0"/>
        <w:kinsoku/>
        <w:wordWrap/>
        <w:overflowPunct/>
        <w:topLinePunct w:val="0"/>
        <w:autoSpaceDE/>
        <w:autoSpaceDN/>
        <w:bidi w:val="0"/>
        <w:adjustRightInd w:val="0"/>
        <w:snapToGrid w:val="0"/>
        <w:spacing w:line="360" w:lineRule="auto"/>
        <w:ind w:left="630" w:leftChars="300"/>
        <w:textAlignment w:val="auto"/>
        <w:rPr>
          <w:rFonts w:hint="default" w:ascii="方正仿宋_GB2312" w:hAnsi="方正仿宋_GB2312" w:eastAsia="方正仿宋_GB2312" w:cs="方正仿宋_GB2312"/>
          <w:color w:val="auto"/>
          <w:sz w:val="32"/>
          <w:szCs w:val="32"/>
          <w:highlight w:val="none"/>
          <w:u w:val="single"/>
          <w:lang w:val="en-US" w:eastAsia="zh-CN"/>
        </w:rPr>
      </w:pPr>
      <w:r>
        <w:rPr>
          <w:rFonts w:hint="eastAsia" w:ascii="方正仿宋_GB2312" w:hAnsi="方正仿宋_GB2312" w:eastAsia="方正仿宋_GB2312" w:cs="方正仿宋_GB2312"/>
          <w:color w:val="auto"/>
          <w:sz w:val="32"/>
          <w:szCs w:val="32"/>
          <w:highlight w:val="none"/>
        </w:rPr>
        <w:t>项目名称：</w:t>
      </w:r>
      <w:r>
        <w:rPr>
          <w:rFonts w:hint="eastAsia" w:ascii="方正仿宋_GB2312" w:hAnsi="方正仿宋_GB2312" w:eastAsia="方正仿宋_GB2312" w:cs="方正仿宋_GB2312"/>
          <w:color w:val="auto"/>
          <w:sz w:val="32"/>
          <w:szCs w:val="32"/>
          <w:highlight w:val="none"/>
          <w:u w:val="single"/>
          <w:lang w:val="en-US" w:eastAsia="zh-CN"/>
        </w:rPr>
        <w:t>阳江市超越彩印有限公司纸制品生产建设项目</w:t>
      </w:r>
    </w:p>
    <w:p w14:paraId="4C37FC98">
      <w:pPr>
        <w:keepNext w:val="0"/>
        <w:keepLines w:val="0"/>
        <w:pageBreakBefore w:val="0"/>
        <w:widowControl w:val="0"/>
        <w:kinsoku/>
        <w:wordWrap/>
        <w:overflowPunct/>
        <w:topLinePunct w:val="0"/>
        <w:autoSpaceDE/>
        <w:autoSpaceDN/>
        <w:bidi w:val="0"/>
        <w:adjustRightInd w:val="0"/>
        <w:snapToGrid w:val="0"/>
        <w:spacing w:line="480" w:lineRule="auto"/>
        <w:ind w:firstLine="640" w:firstLineChars="200"/>
        <w:textAlignment w:val="auto"/>
        <w:rPr>
          <w:rFonts w:hint="default" w:ascii="方正仿宋_GB2312" w:hAnsi="方正仿宋_GB2312" w:eastAsia="方正仿宋_GB2312" w:cs="方正仿宋_GB2312"/>
          <w:color w:val="auto"/>
          <w:sz w:val="32"/>
          <w:szCs w:val="32"/>
          <w:highlight w:val="none"/>
          <w:u w:val="single"/>
          <w:lang w:val="en-US"/>
        </w:rPr>
      </w:pPr>
      <w:r>
        <w:rPr>
          <w:rFonts w:hint="eastAsia" w:ascii="方正仿宋_GB2312" w:hAnsi="方正仿宋_GB2312" w:eastAsia="方正仿宋_GB2312" w:cs="方正仿宋_GB2312"/>
          <w:color w:val="auto"/>
          <w:sz w:val="32"/>
          <w:szCs w:val="32"/>
          <w:highlight w:val="none"/>
        </w:rPr>
        <w:t>建设单位（盖章）：</w:t>
      </w:r>
      <w:r>
        <w:rPr>
          <w:rFonts w:hint="eastAsia" w:ascii="方正仿宋_GB2312" w:hAnsi="方正仿宋_GB2312" w:eastAsia="方正仿宋_GB2312" w:cs="方正仿宋_GB2312"/>
          <w:color w:val="auto"/>
          <w:sz w:val="32"/>
          <w:szCs w:val="32"/>
          <w:highlight w:val="none"/>
          <w:u w:val="single"/>
          <w:lang w:val="en-US" w:eastAsia="zh-CN"/>
        </w:rPr>
        <w:t xml:space="preserve"> 阳江市超越彩印有限公司          </w:t>
      </w:r>
    </w:p>
    <w:p w14:paraId="5947B880">
      <w:pPr>
        <w:keepNext w:val="0"/>
        <w:keepLines w:val="0"/>
        <w:pageBreakBefore w:val="0"/>
        <w:widowControl w:val="0"/>
        <w:kinsoku/>
        <w:wordWrap/>
        <w:overflowPunct/>
        <w:topLinePunct w:val="0"/>
        <w:autoSpaceDE/>
        <w:autoSpaceDN/>
        <w:bidi w:val="0"/>
        <w:adjustRightInd w:val="0"/>
        <w:snapToGrid w:val="0"/>
        <w:spacing w:line="480" w:lineRule="auto"/>
        <w:ind w:firstLine="640" w:firstLineChars="200"/>
        <w:textAlignment w:val="auto"/>
        <w:rPr>
          <w:rFonts w:hint="eastAsia" w:ascii="方正仿宋_GB2312" w:hAnsi="方正仿宋_GB2312" w:eastAsia="方正仿宋_GB2312" w:cs="方正仿宋_GB2312"/>
          <w:color w:val="auto"/>
          <w:sz w:val="32"/>
          <w:szCs w:val="32"/>
          <w:highlight w:val="none"/>
          <w:u w:val="single"/>
        </w:rPr>
      </w:pPr>
      <w:r>
        <w:rPr>
          <w:rFonts w:hint="eastAsia" w:ascii="方正仿宋_GB2312" w:hAnsi="方正仿宋_GB2312" w:eastAsia="方正仿宋_GB2312" w:cs="方正仿宋_GB2312"/>
          <w:color w:val="auto"/>
          <w:sz w:val="32"/>
          <w:szCs w:val="32"/>
          <w:highlight w:val="none"/>
        </w:rPr>
        <w:t>编制日期：</w:t>
      </w:r>
      <w:r>
        <w:rPr>
          <w:rFonts w:hint="eastAsia" w:ascii="方正仿宋_GB2312" w:hAnsi="方正仿宋_GB2312" w:eastAsia="方正仿宋_GB2312" w:cs="方正仿宋_GB2312"/>
          <w:color w:val="auto"/>
          <w:sz w:val="32"/>
          <w:szCs w:val="32"/>
          <w:highlight w:val="none"/>
          <w:u w:val="single"/>
        </w:rPr>
        <w:t xml:space="preserve"> </w:t>
      </w:r>
      <w:r>
        <w:rPr>
          <w:rFonts w:hint="eastAsia" w:ascii="方正仿宋_GB2312" w:hAnsi="方正仿宋_GB2312" w:eastAsia="方正仿宋_GB2312" w:cs="方正仿宋_GB2312"/>
          <w:color w:val="auto"/>
          <w:sz w:val="32"/>
          <w:szCs w:val="32"/>
          <w:highlight w:val="none"/>
          <w:u w:val="single"/>
          <w:lang w:val="en-US" w:eastAsia="zh-CN"/>
        </w:rPr>
        <w:t xml:space="preserve">               2026年9月              </w:t>
      </w:r>
    </w:p>
    <w:p w14:paraId="4BD86DC9">
      <w:pPr>
        <w:adjustRightInd w:val="0"/>
        <w:snapToGrid w:val="0"/>
        <w:spacing w:line="288" w:lineRule="auto"/>
        <w:ind w:firstLine="1040"/>
        <w:rPr>
          <w:rFonts w:ascii="仿宋_GB2312" w:eastAsia="仿宋_GB2312"/>
          <w:color w:val="auto"/>
          <w:sz w:val="36"/>
          <w:szCs w:val="36"/>
          <w:highlight w:val="none"/>
          <w:u w:val="single"/>
        </w:rPr>
      </w:pPr>
    </w:p>
    <w:p w14:paraId="58EBDB4D">
      <w:pPr>
        <w:adjustRightInd w:val="0"/>
        <w:snapToGrid w:val="0"/>
        <w:spacing w:line="288" w:lineRule="auto"/>
        <w:ind w:firstLine="1040"/>
        <w:rPr>
          <w:rFonts w:ascii="仿宋_GB2312" w:eastAsia="仿宋_GB2312"/>
          <w:color w:val="auto"/>
          <w:sz w:val="36"/>
          <w:szCs w:val="36"/>
          <w:highlight w:val="none"/>
        </w:rPr>
      </w:pPr>
    </w:p>
    <w:bookmarkEnd w:id="0"/>
    <w:p w14:paraId="757C76A7">
      <w:pPr>
        <w:jc w:val="center"/>
        <w:rPr>
          <w:rFonts w:hint="eastAsia" w:ascii="楷体_GB2312" w:eastAsia="楷体_GB2312"/>
          <w:color w:val="auto"/>
          <w:sz w:val="36"/>
          <w:szCs w:val="36"/>
          <w:highlight w:val="none"/>
        </w:rPr>
      </w:pPr>
    </w:p>
    <w:p w14:paraId="4EAF8E79">
      <w:pPr>
        <w:jc w:val="center"/>
        <w:rPr>
          <w:rFonts w:hint="eastAsia" w:ascii="楷体_GB2312" w:eastAsia="楷体_GB2312"/>
          <w:color w:val="auto"/>
          <w:sz w:val="36"/>
          <w:szCs w:val="36"/>
          <w:highlight w:val="none"/>
        </w:rPr>
      </w:pPr>
    </w:p>
    <w:p w14:paraId="7AC1D9CB">
      <w:pPr>
        <w:jc w:val="center"/>
        <w:rPr>
          <w:rFonts w:hint="eastAsia" w:ascii="楷体_GB2312" w:eastAsia="楷体_GB2312"/>
          <w:color w:val="auto"/>
          <w:sz w:val="36"/>
          <w:szCs w:val="36"/>
          <w:highlight w:val="none"/>
        </w:rPr>
      </w:pPr>
    </w:p>
    <w:p w14:paraId="6C6397BD">
      <w:pPr>
        <w:jc w:val="center"/>
        <w:rPr>
          <w:rFonts w:hint="eastAsia" w:ascii="仿宋_GB2312" w:hAnsi="仿宋_GB2312" w:eastAsia="仿宋_GB2312" w:cs="仿宋_GB2312"/>
          <w:color w:val="auto"/>
          <w:sz w:val="36"/>
          <w:szCs w:val="36"/>
          <w:highlight w:val="none"/>
          <w:lang w:eastAsia="zh-CN"/>
        </w:rPr>
      </w:pPr>
      <w:r>
        <w:rPr>
          <w:rFonts w:hint="eastAsia" w:ascii="楷体_GB2312" w:eastAsia="楷体_GB2312"/>
          <w:color w:val="auto"/>
          <w:sz w:val="36"/>
          <w:szCs w:val="36"/>
          <w:highlight w:val="none"/>
        </w:rPr>
        <w:t>中华人民共和国生态环境部制</w:t>
      </w:r>
    </w:p>
    <w:p w14:paraId="40012D4A">
      <w:pPr>
        <w:pStyle w:val="28"/>
        <w:jc w:val="center"/>
        <w:outlineLvl w:val="0"/>
        <w:rPr>
          <w:rFonts w:hint="default" w:ascii="Times New Roman" w:hAnsi="Times New Roman" w:eastAsia="宋体" w:cs="Times New Roman"/>
          <w:b/>
          <w:bCs/>
          <w:snapToGrid w:val="0"/>
          <w:color w:val="auto"/>
          <w:sz w:val="30"/>
          <w:szCs w:val="30"/>
          <w:highlight w:val="none"/>
        </w:rPr>
        <w:sectPr>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5CBDFEA1">
      <w:pPr>
        <w:pStyle w:val="28"/>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b/>
          <w:bCs/>
          <w:snapToGrid w:val="0"/>
          <w:color w:val="auto"/>
          <w:sz w:val="30"/>
          <w:szCs w:val="30"/>
          <w:highlight w:val="none"/>
        </w:rPr>
      </w:pPr>
      <w:r>
        <w:rPr>
          <w:rFonts w:hint="default" w:ascii="Times New Roman" w:hAnsi="Times New Roman" w:eastAsia="宋体" w:cs="Times New Roman"/>
          <w:b/>
          <w:bCs/>
          <w:snapToGrid w:val="0"/>
          <w:color w:val="auto"/>
          <w:sz w:val="30"/>
          <w:szCs w:val="30"/>
          <w:highlight w:val="none"/>
        </w:rPr>
        <w:t>一、建设项目基本情况</w:t>
      </w:r>
    </w:p>
    <w:tbl>
      <w:tblPr>
        <w:tblStyle w:val="3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645"/>
        <w:gridCol w:w="976"/>
        <w:gridCol w:w="2398"/>
        <w:gridCol w:w="2212"/>
        <w:gridCol w:w="19"/>
        <w:gridCol w:w="2620"/>
      </w:tblGrid>
      <w:tr w14:paraId="41B01D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621" w:type="dxa"/>
            <w:gridSpan w:val="2"/>
            <w:noWrap w:val="0"/>
            <w:tcMar>
              <w:top w:w="16" w:type="dxa"/>
              <w:left w:w="16" w:type="dxa"/>
              <w:right w:w="16" w:type="dxa"/>
            </w:tcMar>
            <w:vAlign w:val="center"/>
          </w:tcPr>
          <w:p w14:paraId="1CD410C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建设项目名称</w:t>
            </w:r>
          </w:p>
        </w:tc>
        <w:tc>
          <w:tcPr>
            <w:tcW w:w="7249" w:type="dxa"/>
            <w:gridSpan w:val="4"/>
            <w:noWrap w:val="0"/>
            <w:vAlign w:val="center"/>
          </w:tcPr>
          <w:p w14:paraId="3B2E4EE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eastAsia="zh-CN"/>
              </w:rPr>
            </w:pPr>
            <w:r>
              <w:rPr>
                <w:rFonts w:hint="eastAsia" w:cs="Times New Roman"/>
                <w:color w:val="auto"/>
                <w:szCs w:val="21"/>
                <w:highlight w:val="none"/>
                <w:lang w:eastAsia="zh-CN"/>
              </w:rPr>
              <w:t>阳江市超越彩印有限公司纸制品生产建设项目</w:t>
            </w:r>
          </w:p>
        </w:tc>
      </w:tr>
      <w:tr w14:paraId="01FE0C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621" w:type="dxa"/>
            <w:gridSpan w:val="2"/>
            <w:noWrap w:val="0"/>
            <w:tcMar>
              <w:top w:w="16" w:type="dxa"/>
              <w:left w:w="16" w:type="dxa"/>
              <w:right w:w="16" w:type="dxa"/>
            </w:tcMar>
            <w:vAlign w:val="center"/>
          </w:tcPr>
          <w:p w14:paraId="62140A5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项目代码</w:t>
            </w:r>
          </w:p>
        </w:tc>
        <w:tc>
          <w:tcPr>
            <w:tcW w:w="7249" w:type="dxa"/>
            <w:gridSpan w:val="4"/>
            <w:noWrap w:val="0"/>
            <w:vAlign w:val="center"/>
          </w:tcPr>
          <w:p w14:paraId="35E8276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2608-441704-04-01-326386</w:t>
            </w:r>
          </w:p>
        </w:tc>
      </w:tr>
      <w:tr w14:paraId="3A5376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621" w:type="dxa"/>
            <w:gridSpan w:val="2"/>
            <w:noWrap w:val="0"/>
            <w:tcMar>
              <w:top w:w="16" w:type="dxa"/>
              <w:left w:w="16" w:type="dxa"/>
              <w:right w:w="16" w:type="dxa"/>
            </w:tcMar>
            <w:vAlign w:val="center"/>
          </w:tcPr>
          <w:p w14:paraId="2F00844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建设单位联系人</w:t>
            </w:r>
          </w:p>
        </w:tc>
        <w:tc>
          <w:tcPr>
            <w:tcW w:w="2398" w:type="dxa"/>
            <w:noWrap w:val="0"/>
            <w:vAlign w:val="center"/>
          </w:tcPr>
          <w:p w14:paraId="75B7872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梁超</w:t>
            </w:r>
          </w:p>
        </w:tc>
        <w:tc>
          <w:tcPr>
            <w:tcW w:w="2212" w:type="dxa"/>
            <w:noWrap w:val="0"/>
            <w:vAlign w:val="center"/>
          </w:tcPr>
          <w:p w14:paraId="1954368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联系方式</w:t>
            </w:r>
          </w:p>
        </w:tc>
        <w:tc>
          <w:tcPr>
            <w:tcW w:w="2639" w:type="dxa"/>
            <w:gridSpan w:val="2"/>
            <w:noWrap w:val="0"/>
            <w:vAlign w:val="center"/>
          </w:tcPr>
          <w:p w14:paraId="48D88BD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13924391133</w:t>
            </w:r>
          </w:p>
        </w:tc>
      </w:tr>
      <w:tr w14:paraId="014363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621" w:type="dxa"/>
            <w:gridSpan w:val="2"/>
            <w:noWrap w:val="0"/>
            <w:tcMar>
              <w:top w:w="16" w:type="dxa"/>
              <w:left w:w="16" w:type="dxa"/>
              <w:right w:w="16" w:type="dxa"/>
            </w:tcMar>
            <w:vAlign w:val="center"/>
          </w:tcPr>
          <w:p w14:paraId="5FDDB1D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建设地点</w:t>
            </w:r>
          </w:p>
        </w:tc>
        <w:tc>
          <w:tcPr>
            <w:tcW w:w="7249" w:type="dxa"/>
            <w:gridSpan w:val="4"/>
            <w:noWrap w:val="0"/>
            <w:vAlign w:val="center"/>
          </w:tcPr>
          <w:p w14:paraId="70A5D99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eastAsia="zh-CN"/>
              </w:rPr>
              <w:t>阳江市阳东区北惯镇金田六路西边及霍达七路南边BN-01-12a</w:t>
            </w:r>
          </w:p>
        </w:tc>
      </w:tr>
      <w:tr w14:paraId="4453FA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621" w:type="dxa"/>
            <w:gridSpan w:val="2"/>
            <w:noWrap w:val="0"/>
            <w:tcMar>
              <w:top w:w="16" w:type="dxa"/>
              <w:left w:w="16" w:type="dxa"/>
              <w:right w:w="16" w:type="dxa"/>
            </w:tcMar>
            <w:vAlign w:val="center"/>
          </w:tcPr>
          <w:p w14:paraId="29220B7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地理坐标</w:t>
            </w:r>
          </w:p>
        </w:tc>
        <w:tc>
          <w:tcPr>
            <w:tcW w:w="7249" w:type="dxa"/>
            <w:gridSpan w:val="4"/>
            <w:noWrap w:val="0"/>
            <w:vAlign w:val="center"/>
          </w:tcPr>
          <w:p w14:paraId="404CFD8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eastAsia="zh-CN"/>
              </w:rPr>
            </w:pPr>
            <w:r>
              <w:rPr>
                <w:rFonts w:hint="default" w:cs="Times New Roman"/>
                <w:color w:val="auto"/>
                <w:szCs w:val="21"/>
                <w:highlight w:val="none"/>
                <w:lang w:val="en-US" w:eastAsia="zh-CN"/>
              </w:rPr>
              <w:t>经度</w:t>
            </w:r>
            <w:r>
              <w:rPr>
                <w:rFonts w:hint="default" w:cs="Times New Roman"/>
                <w:color w:val="auto"/>
                <w:szCs w:val="21"/>
                <w:highlight w:val="none"/>
                <w:lang w:eastAsia="zh-CN"/>
              </w:rPr>
              <w:t>11</w:t>
            </w:r>
            <w:r>
              <w:rPr>
                <w:rFonts w:hint="default" w:cs="Times New Roman"/>
                <w:color w:val="auto"/>
                <w:szCs w:val="21"/>
                <w:highlight w:val="none"/>
                <w:lang w:val="en-US" w:eastAsia="zh-CN"/>
              </w:rPr>
              <w:t>2度</w:t>
            </w:r>
            <w:r>
              <w:rPr>
                <w:rFonts w:hint="eastAsia" w:cs="Times New Roman"/>
                <w:color w:val="auto"/>
                <w:szCs w:val="21"/>
                <w:highlight w:val="none"/>
                <w:lang w:val="en-US" w:eastAsia="zh-CN"/>
              </w:rPr>
              <w:t>2</w:t>
            </w:r>
            <w:r>
              <w:rPr>
                <w:rFonts w:hint="default" w:cs="Times New Roman"/>
                <w:color w:val="auto"/>
                <w:szCs w:val="21"/>
                <w:highlight w:val="none"/>
                <w:lang w:val="en-US" w:eastAsia="zh-CN"/>
              </w:rPr>
              <w:t>分</w:t>
            </w:r>
            <w:r>
              <w:rPr>
                <w:rFonts w:hint="eastAsia" w:cs="Times New Roman"/>
                <w:color w:val="auto"/>
                <w:szCs w:val="21"/>
                <w:highlight w:val="none"/>
                <w:lang w:val="en-US" w:eastAsia="zh-CN"/>
              </w:rPr>
              <w:t>47.693</w:t>
            </w:r>
            <w:r>
              <w:rPr>
                <w:rFonts w:hint="default" w:cs="Times New Roman"/>
                <w:color w:val="auto"/>
                <w:szCs w:val="21"/>
                <w:highlight w:val="none"/>
                <w:lang w:val="en-US" w:eastAsia="zh-CN"/>
              </w:rPr>
              <w:t>秒</w:t>
            </w:r>
            <w:r>
              <w:rPr>
                <w:rFonts w:hint="default" w:cs="Times New Roman"/>
                <w:color w:val="auto"/>
                <w:szCs w:val="21"/>
                <w:highlight w:val="none"/>
                <w:lang w:eastAsia="zh-CN"/>
              </w:rPr>
              <w:t>，</w:t>
            </w:r>
            <w:r>
              <w:rPr>
                <w:rFonts w:hint="default" w:cs="Times New Roman"/>
                <w:color w:val="auto"/>
                <w:szCs w:val="21"/>
                <w:highlight w:val="none"/>
                <w:lang w:val="en-US" w:eastAsia="zh-CN"/>
              </w:rPr>
              <w:t>纬度</w:t>
            </w:r>
            <w:r>
              <w:rPr>
                <w:rFonts w:hint="default" w:cs="Times New Roman"/>
                <w:color w:val="auto"/>
                <w:szCs w:val="21"/>
                <w:highlight w:val="none"/>
                <w:lang w:eastAsia="zh-CN"/>
              </w:rPr>
              <w:t>21</w:t>
            </w:r>
            <w:r>
              <w:rPr>
                <w:rFonts w:hint="default" w:cs="Times New Roman"/>
                <w:color w:val="auto"/>
                <w:szCs w:val="21"/>
                <w:highlight w:val="none"/>
                <w:lang w:val="en-US" w:eastAsia="zh-CN"/>
              </w:rPr>
              <w:t>度5</w:t>
            </w:r>
            <w:r>
              <w:rPr>
                <w:rFonts w:hint="eastAsia" w:cs="Times New Roman"/>
                <w:color w:val="auto"/>
                <w:szCs w:val="21"/>
                <w:highlight w:val="none"/>
                <w:lang w:val="en-US" w:eastAsia="zh-CN"/>
              </w:rPr>
              <w:t>5</w:t>
            </w:r>
            <w:r>
              <w:rPr>
                <w:rFonts w:hint="default" w:cs="Times New Roman"/>
                <w:color w:val="auto"/>
                <w:szCs w:val="21"/>
                <w:highlight w:val="none"/>
                <w:lang w:val="en-US" w:eastAsia="zh-CN"/>
              </w:rPr>
              <w:t>分</w:t>
            </w:r>
            <w:r>
              <w:rPr>
                <w:rFonts w:hint="eastAsia" w:cs="Times New Roman"/>
                <w:color w:val="auto"/>
                <w:szCs w:val="21"/>
                <w:highlight w:val="none"/>
                <w:lang w:val="en-US" w:eastAsia="zh-CN"/>
              </w:rPr>
              <w:t>38.887</w:t>
            </w:r>
            <w:r>
              <w:rPr>
                <w:rFonts w:hint="default" w:cs="Times New Roman"/>
                <w:color w:val="auto"/>
                <w:szCs w:val="21"/>
                <w:highlight w:val="none"/>
                <w:lang w:val="en-US" w:eastAsia="zh-CN"/>
              </w:rPr>
              <w:t>秒</w:t>
            </w:r>
          </w:p>
        </w:tc>
      </w:tr>
      <w:tr w14:paraId="3AB254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621" w:type="dxa"/>
            <w:gridSpan w:val="2"/>
            <w:noWrap w:val="0"/>
            <w:tcMar>
              <w:top w:w="16" w:type="dxa"/>
              <w:left w:w="16" w:type="dxa"/>
              <w:right w:w="16" w:type="dxa"/>
            </w:tcMar>
            <w:vAlign w:val="center"/>
          </w:tcPr>
          <w:p w14:paraId="07F9DA8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国民经济</w:t>
            </w:r>
          </w:p>
          <w:p w14:paraId="42E3166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行业类别</w:t>
            </w:r>
          </w:p>
        </w:tc>
        <w:tc>
          <w:tcPr>
            <w:tcW w:w="2398" w:type="dxa"/>
            <w:noWrap w:val="0"/>
            <w:vAlign w:val="center"/>
          </w:tcPr>
          <w:p w14:paraId="6FF547B7">
            <w:pPr>
              <w:pStyle w:val="19"/>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C2231纸和纸板容器制造</w:t>
            </w:r>
            <w:r>
              <w:rPr>
                <w:rFonts w:hint="eastAsia" w:ascii="Times New Roman" w:hAnsi="Times New Roman" w:cs="Times New Roman"/>
                <w:color w:val="auto"/>
                <w:highlight w:val="none"/>
                <w:lang w:eastAsia="zh-CN"/>
              </w:rPr>
              <w:t>、</w:t>
            </w:r>
            <w:r>
              <w:rPr>
                <w:rFonts w:hint="default" w:ascii="Times New Roman" w:hAnsi="Times New Roman" w:eastAsia="宋体" w:cs="Times New Roman"/>
                <w:color w:val="auto"/>
                <w:highlight w:val="none"/>
              </w:rPr>
              <w:t>C2319包装装潢及其他印刷</w:t>
            </w:r>
          </w:p>
        </w:tc>
        <w:tc>
          <w:tcPr>
            <w:tcW w:w="2231" w:type="dxa"/>
            <w:gridSpan w:val="2"/>
            <w:noWrap w:val="0"/>
            <w:vAlign w:val="center"/>
          </w:tcPr>
          <w:p w14:paraId="4580A84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bookmarkStart w:id="1" w:name="_Hlk49843745"/>
            <w:r>
              <w:rPr>
                <w:rFonts w:hint="default" w:ascii="Times New Roman" w:hAnsi="Times New Roman" w:eastAsia="宋体" w:cs="Times New Roman"/>
                <w:color w:val="auto"/>
                <w:szCs w:val="21"/>
                <w:highlight w:val="none"/>
              </w:rPr>
              <w:t>建设项目</w:t>
            </w:r>
          </w:p>
          <w:p w14:paraId="28591B5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行业类别</w:t>
            </w:r>
            <w:bookmarkEnd w:id="1"/>
          </w:p>
        </w:tc>
        <w:tc>
          <w:tcPr>
            <w:tcW w:w="2620" w:type="dxa"/>
            <w:noWrap w:val="0"/>
            <w:vAlign w:val="center"/>
          </w:tcPr>
          <w:p w14:paraId="48422E28">
            <w:pPr>
              <w:keepNext w:val="0"/>
              <w:keepLines w:val="0"/>
              <w:widowControl/>
              <w:suppressLineNumbers w:val="0"/>
              <w:adjustRightInd/>
              <w:snapToGrid/>
              <w:spacing w:before="0" w:beforeAutospacing="0" w:after="0" w:afterAutospacing="0"/>
              <w:ind w:left="0" w:right="0"/>
              <w:jc w:val="left"/>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18"/>
                <w:highlight w:val="none"/>
                <w:lang w:val="en-US" w:eastAsia="zh-CN"/>
              </w:rPr>
              <w:t>38 纸制品制造——有涂布、浸渍、印刷、粘胶工艺的</w:t>
            </w:r>
          </w:p>
        </w:tc>
      </w:tr>
      <w:tr w14:paraId="18207F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621" w:type="dxa"/>
            <w:gridSpan w:val="2"/>
            <w:noWrap w:val="0"/>
            <w:tcMar>
              <w:top w:w="16" w:type="dxa"/>
              <w:left w:w="16" w:type="dxa"/>
              <w:right w:w="16" w:type="dxa"/>
            </w:tcMar>
            <w:vAlign w:val="center"/>
          </w:tcPr>
          <w:p w14:paraId="0860BA9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建设性质</w:t>
            </w:r>
          </w:p>
        </w:tc>
        <w:tc>
          <w:tcPr>
            <w:tcW w:w="2398" w:type="dxa"/>
            <w:noWrap w:val="0"/>
            <w:vAlign w:val="center"/>
          </w:tcPr>
          <w:p w14:paraId="4D0BB5C0">
            <w:pPr>
              <w:keepNext w:val="0"/>
              <w:keepLines w:val="0"/>
              <w:pageBreakBefore w:val="0"/>
              <w:widowControl w:val="0"/>
              <w:suppressLineNumbers w:val="0"/>
              <w:kinsoku/>
              <w:wordWrap/>
              <w:overflowPunct/>
              <w:topLinePunct w:val="0"/>
              <w:autoSpaceDE/>
              <w:autoSpaceDN/>
              <w:bidi w:val="0"/>
              <w:spacing w:before="0" w:beforeAutospacing="0" w:after="0" w:afterAutospacing="0"/>
              <w:ind w:left="42" w:leftChars="20" w:right="0"/>
              <w:jc w:val="left"/>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sym w:font="Wingdings" w:char="00FE"/>
            </w:r>
            <w:r>
              <w:rPr>
                <w:rFonts w:hint="default" w:ascii="Times New Roman" w:hAnsi="Times New Roman" w:eastAsia="宋体" w:cs="Times New Roman"/>
                <w:color w:val="auto"/>
                <w:szCs w:val="21"/>
                <w:highlight w:val="none"/>
              </w:rPr>
              <w:t>新建（迁建）</w:t>
            </w:r>
          </w:p>
          <w:p w14:paraId="22676B4A">
            <w:pPr>
              <w:keepNext w:val="0"/>
              <w:keepLines w:val="0"/>
              <w:pageBreakBefore w:val="0"/>
              <w:widowControl w:val="0"/>
              <w:suppressLineNumbers w:val="0"/>
              <w:kinsoku/>
              <w:wordWrap/>
              <w:overflowPunct/>
              <w:topLinePunct w:val="0"/>
              <w:autoSpaceDE/>
              <w:autoSpaceDN/>
              <w:bidi w:val="0"/>
              <w:spacing w:before="0" w:beforeAutospacing="0" w:after="0" w:afterAutospacing="0"/>
              <w:ind w:left="42" w:leftChars="20" w:right="0"/>
              <w:jc w:val="left"/>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sym w:font="Wingdings" w:char="00A8"/>
            </w:r>
            <w:r>
              <w:rPr>
                <w:rFonts w:hint="default" w:ascii="Times New Roman" w:hAnsi="Times New Roman" w:eastAsia="宋体" w:cs="Times New Roman"/>
                <w:color w:val="auto"/>
                <w:szCs w:val="21"/>
                <w:highlight w:val="none"/>
              </w:rPr>
              <w:t>改建</w:t>
            </w:r>
          </w:p>
          <w:p w14:paraId="7BCAE1B2">
            <w:pPr>
              <w:keepNext w:val="0"/>
              <w:keepLines w:val="0"/>
              <w:pageBreakBefore w:val="0"/>
              <w:widowControl w:val="0"/>
              <w:suppressLineNumbers w:val="0"/>
              <w:kinsoku/>
              <w:wordWrap/>
              <w:overflowPunct/>
              <w:topLinePunct w:val="0"/>
              <w:autoSpaceDE/>
              <w:autoSpaceDN/>
              <w:bidi w:val="0"/>
              <w:spacing w:before="0" w:beforeAutospacing="0" w:after="0" w:afterAutospacing="0"/>
              <w:ind w:left="42" w:leftChars="20" w:right="0"/>
              <w:jc w:val="left"/>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sym w:font="Wingdings" w:char="00A8"/>
            </w:r>
            <w:r>
              <w:rPr>
                <w:rFonts w:hint="default" w:ascii="Times New Roman" w:hAnsi="Times New Roman" w:eastAsia="宋体" w:cs="Times New Roman"/>
                <w:color w:val="auto"/>
                <w:szCs w:val="21"/>
                <w:highlight w:val="none"/>
              </w:rPr>
              <w:t>扩建</w:t>
            </w:r>
          </w:p>
          <w:p w14:paraId="3F6CA18A">
            <w:pPr>
              <w:keepNext w:val="0"/>
              <w:keepLines w:val="0"/>
              <w:pageBreakBefore w:val="0"/>
              <w:widowControl w:val="0"/>
              <w:suppressLineNumbers w:val="0"/>
              <w:kinsoku/>
              <w:wordWrap/>
              <w:overflowPunct/>
              <w:topLinePunct w:val="0"/>
              <w:autoSpaceDE/>
              <w:autoSpaceDN/>
              <w:bidi w:val="0"/>
              <w:spacing w:before="0" w:beforeAutospacing="0" w:after="0" w:afterAutospacing="0"/>
              <w:ind w:left="42" w:leftChars="20" w:right="0"/>
              <w:jc w:val="left"/>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sym w:font="Wingdings" w:char="00A8"/>
            </w:r>
            <w:r>
              <w:rPr>
                <w:rFonts w:hint="default" w:ascii="Times New Roman" w:hAnsi="Times New Roman" w:eastAsia="宋体" w:cs="Times New Roman"/>
                <w:color w:val="auto"/>
                <w:szCs w:val="21"/>
                <w:highlight w:val="none"/>
              </w:rPr>
              <w:t>技术改造</w:t>
            </w:r>
          </w:p>
        </w:tc>
        <w:tc>
          <w:tcPr>
            <w:tcW w:w="2231" w:type="dxa"/>
            <w:gridSpan w:val="2"/>
            <w:noWrap w:val="0"/>
            <w:vAlign w:val="center"/>
          </w:tcPr>
          <w:p w14:paraId="7AA5E93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42" w:leftChars="2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建设项目</w:t>
            </w:r>
          </w:p>
          <w:p w14:paraId="0BB77F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42" w:leftChars="20" w:right="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申报情形</w:t>
            </w:r>
          </w:p>
        </w:tc>
        <w:tc>
          <w:tcPr>
            <w:tcW w:w="2620" w:type="dxa"/>
            <w:noWrap w:val="0"/>
            <w:vAlign w:val="center"/>
          </w:tcPr>
          <w:p w14:paraId="79878B66">
            <w:pPr>
              <w:keepNext w:val="0"/>
              <w:keepLines w:val="0"/>
              <w:pageBreakBefore w:val="0"/>
              <w:widowControl w:val="0"/>
              <w:suppressLineNumbers w:val="0"/>
              <w:kinsoku/>
              <w:wordWrap/>
              <w:overflowPunct/>
              <w:topLinePunct w:val="0"/>
              <w:autoSpaceDE/>
              <w:autoSpaceDN/>
              <w:bidi w:val="0"/>
              <w:spacing w:before="0" w:beforeAutospacing="0" w:after="0" w:afterAutospacing="0"/>
              <w:ind w:left="42" w:leftChars="20" w:right="0"/>
              <w:jc w:val="left"/>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sym w:font="Wingdings" w:char="00FE"/>
            </w:r>
            <w:r>
              <w:rPr>
                <w:rFonts w:hint="default" w:ascii="Times New Roman" w:hAnsi="Times New Roman" w:eastAsia="宋体" w:cs="Times New Roman"/>
                <w:color w:val="auto"/>
                <w:szCs w:val="21"/>
                <w:highlight w:val="none"/>
              </w:rPr>
              <w:t>首次申报项目</w:t>
            </w:r>
          </w:p>
          <w:p w14:paraId="1DC8D5CC">
            <w:pPr>
              <w:keepNext w:val="0"/>
              <w:keepLines w:val="0"/>
              <w:pageBreakBefore w:val="0"/>
              <w:widowControl w:val="0"/>
              <w:suppressLineNumbers w:val="0"/>
              <w:kinsoku/>
              <w:wordWrap/>
              <w:overflowPunct/>
              <w:topLinePunct w:val="0"/>
              <w:autoSpaceDE/>
              <w:autoSpaceDN/>
              <w:bidi w:val="0"/>
              <w:spacing w:before="0" w:beforeAutospacing="0" w:after="0" w:afterAutospacing="0"/>
              <w:ind w:left="42" w:leftChars="20" w:right="0"/>
              <w:jc w:val="left"/>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sym w:font="Wingdings" w:char="00A8"/>
            </w:r>
            <w:r>
              <w:rPr>
                <w:rFonts w:hint="default" w:ascii="Times New Roman" w:hAnsi="Times New Roman" w:eastAsia="宋体" w:cs="Times New Roman"/>
                <w:color w:val="auto"/>
                <w:szCs w:val="21"/>
                <w:highlight w:val="none"/>
              </w:rPr>
              <w:t>不予批准后再次申报项目</w:t>
            </w:r>
          </w:p>
          <w:p w14:paraId="19366326">
            <w:pPr>
              <w:keepNext w:val="0"/>
              <w:keepLines w:val="0"/>
              <w:pageBreakBefore w:val="0"/>
              <w:widowControl w:val="0"/>
              <w:suppressLineNumbers w:val="0"/>
              <w:kinsoku/>
              <w:wordWrap/>
              <w:overflowPunct/>
              <w:topLinePunct w:val="0"/>
              <w:autoSpaceDE/>
              <w:autoSpaceDN/>
              <w:bidi w:val="0"/>
              <w:spacing w:before="0" w:beforeAutospacing="0" w:after="0" w:afterAutospacing="0"/>
              <w:ind w:left="42" w:leftChars="20" w:right="0"/>
              <w:jc w:val="left"/>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sym w:font="Wingdings" w:char="00A8"/>
            </w:r>
            <w:r>
              <w:rPr>
                <w:rFonts w:hint="default" w:ascii="Times New Roman" w:hAnsi="Times New Roman" w:eastAsia="宋体" w:cs="Times New Roman"/>
                <w:color w:val="auto"/>
                <w:szCs w:val="21"/>
                <w:highlight w:val="none"/>
              </w:rPr>
              <w:t>超五年重新审核项目</w:t>
            </w:r>
          </w:p>
          <w:p w14:paraId="358CDBE4">
            <w:pPr>
              <w:keepNext w:val="0"/>
              <w:keepLines w:val="0"/>
              <w:pageBreakBefore w:val="0"/>
              <w:widowControl w:val="0"/>
              <w:suppressLineNumbers w:val="0"/>
              <w:kinsoku/>
              <w:wordWrap/>
              <w:overflowPunct/>
              <w:topLinePunct w:val="0"/>
              <w:autoSpaceDE/>
              <w:autoSpaceDN/>
              <w:bidi w:val="0"/>
              <w:spacing w:before="0" w:beforeAutospacing="0" w:after="0" w:afterAutospacing="0"/>
              <w:ind w:left="42" w:leftChars="20" w:right="0"/>
              <w:jc w:val="left"/>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sym w:font="Wingdings" w:char="00A8"/>
            </w:r>
            <w:r>
              <w:rPr>
                <w:rFonts w:hint="default" w:ascii="Times New Roman" w:hAnsi="Times New Roman" w:eastAsia="宋体" w:cs="Times New Roman"/>
                <w:color w:val="auto"/>
                <w:szCs w:val="21"/>
                <w:highlight w:val="none"/>
              </w:rPr>
              <w:t>重大变动重新报批项目</w:t>
            </w:r>
          </w:p>
        </w:tc>
      </w:tr>
      <w:tr w14:paraId="590C57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621" w:type="dxa"/>
            <w:gridSpan w:val="2"/>
            <w:noWrap w:val="0"/>
            <w:tcMar>
              <w:top w:w="16" w:type="dxa"/>
              <w:left w:w="16" w:type="dxa"/>
              <w:right w:w="16" w:type="dxa"/>
            </w:tcMar>
            <w:vAlign w:val="center"/>
          </w:tcPr>
          <w:p w14:paraId="3AC3EAD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项目审批（核准/</w:t>
            </w:r>
          </w:p>
          <w:p w14:paraId="307CDB3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备案）部门（选填）</w:t>
            </w:r>
          </w:p>
        </w:tc>
        <w:tc>
          <w:tcPr>
            <w:tcW w:w="2398" w:type="dxa"/>
            <w:noWrap w:val="0"/>
            <w:vAlign w:val="center"/>
          </w:tcPr>
          <w:p w14:paraId="52463D1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阳江市阳东区发展和</w:t>
            </w:r>
          </w:p>
          <w:p w14:paraId="3F87FF6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改革局</w:t>
            </w:r>
          </w:p>
        </w:tc>
        <w:tc>
          <w:tcPr>
            <w:tcW w:w="2231" w:type="dxa"/>
            <w:gridSpan w:val="2"/>
            <w:noWrap w:val="0"/>
            <w:vAlign w:val="center"/>
          </w:tcPr>
          <w:p w14:paraId="4300B85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项目审批（核准/</w:t>
            </w:r>
          </w:p>
          <w:p w14:paraId="1F46B6C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备案）文号（选填）</w:t>
            </w:r>
          </w:p>
        </w:tc>
        <w:tc>
          <w:tcPr>
            <w:tcW w:w="2620" w:type="dxa"/>
            <w:noWrap w:val="0"/>
            <w:vAlign w:val="center"/>
          </w:tcPr>
          <w:p w14:paraId="2626512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2608-441704-04-01-326386</w:t>
            </w:r>
          </w:p>
        </w:tc>
      </w:tr>
      <w:tr w14:paraId="6F5A36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621" w:type="dxa"/>
            <w:gridSpan w:val="2"/>
            <w:noWrap w:val="0"/>
            <w:tcMar>
              <w:top w:w="16" w:type="dxa"/>
              <w:left w:w="16" w:type="dxa"/>
              <w:right w:w="16" w:type="dxa"/>
            </w:tcMar>
            <w:vAlign w:val="center"/>
          </w:tcPr>
          <w:p w14:paraId="772A1D3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总投资（万元）</w:t>
            </w:r>
          </w:p>
        </w:tc>
        <w:tc>
          <w:tcPr>
            <w:tcW w:w="2398" w:type="dxa"/>
            <w:noWrap w:val="0"/>
            <w:vAlign w:val="center"/>
          </w:tcPr>
          <w:p w14:paraId="6FC808B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150</w:t>
            </w:r>
          </w:p>
        </w:tc>
        <w:tc>
          <w:tcPr>
            <w:tcW w:w="2231" w:type="dxa"/>
            <w:gridSpan w:val="2"/>
            <w:noWrap w:val="0"/>
            <w:tcMar>
              <w:top w:w="16" w:type="dxa"/>
              <w:left w:w="16" w:type="dxa"/>
              <w:right w:w="16" w:type="dxa"/>
            </w:tcMar>
            <w:vAlign w:val="center"/>
          </w:tcPr>
          <w:p w14:paraId="1A4C713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环保投资（万元）</w:t>
            </w:r>
          </w:p>
        </w:tc>
        <w:tc>
          <w:tcPr>
            <w:tcW w:w="2620" w:type="dxa"/>
            <w:noWrap w:val="0"/>
            <w:vAlign w:val="center"/>
          </w:tcPr>
          <w:p w14:paraId="2AAF2F6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15</w:t>
            </w:r>
          </w:p>
        </w:tc>
      </w:tr>
      <w:tr w14:paraId="13D0E3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621" w:type="dxa"/>
            <w:gridSpan w:val="2"/>
            <w:noWrap w:val="0"/>
            <w:tcMar>
              <w:top w:w="16" w:type="dxa"/>
              <w:left w:w="16" w:type="dxa"/>
              <w:right w:w="16" w:type="dxa"/>
            </w:tcMar>
            <w:vAlign w:val="center"/>
          </w:tcPr>
          <w:p w14:paraId="54A37FE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环保投资占比（%）</w:t>
            </w:r>
          </w:p>
        </w:tc>
        <w:tc>
          <w:tcPr>
            <w:tcW w:w="2398" w:type="dxa"/>
            <w:noWrap w:val="0"/>
            <w:vAlign w:val="center"/>
          </w:tcPr>
          <w:p w14:paraId="33305CF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cs="Times New Roman"/>
                <w:color w:val="auto"/>
                <w:szCs w:val="21"/>
                <w:highlight w:val="none"/>
                <w:lang w:val="en-US" w:eastAsia="zh-CN"/>
              </w:rPr>
              <w:t>10</w:t>
            </w:r>
            <w:r>
              <w:rPr>
                <w:rFonts w:hint="default" w:ascii="Times New Roman" w:hAnsi="Times New Roman" w:eastAsia="宋体" w:cs="Times New Roman"/>
                <w:color w:val="auto"/>
                <w:szCs w:val="21"/>
                <w:highlight w:val="none"/>
              </w:rPr>
              <w:t>%</w:t>
            </w:r>
          </w:p>
        </w:tc>
        <w:tc>
          <w:tcPr>
            <w:tcW w:w="2231" w:type="dxa"/>
            <w:gridSpan w:val="2"/>
            <w:noWrap w:val="0"/>
            <w:tcMar>
              <w:top w:w="16" w:type="dxa"/>
              <w:left w:w="16" w:type="dxa"/>
              <w:right w:w="16" w:type="dxa"/>
            </w:tcMar>
            <w:vAlign w:val="center"/>
          </w:tcPr>
          <w:p w14:paraId="72E6766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施工工期</w:t>
            </w:r>
          </w:p>
        </w:tc>
        <w:tc>
          <w:tcPr>
            <w:tcW w:w="2620" w:type="dxa"/>
            <w:noWrap w:val="0"/>
            <w:vAlign w:val="center"/>
          </w:tcPr>
          <w:p w14:paraId="78AD537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cs="Times New Roman"/>
                <w:color w:val="auto"/>
                <w:szCs w:val="21"/>
                <w:highlight w:val="none"/>
                <w:lang w:val="en-US" w:eastAsia="zh-CN"/>
              </w:rPr>
              <w:t>1</w:t>
            </w:r>
            <w:r>
              <w:rPr>
                <w:rFonts w:hint="default" w:ascii="Times New Roman" w:hAnsi="Times New Roman" w:eastAsia="宋体" w:cs="Times New Roman"/>
                <w:color w:val="auto"/>
                <w:szCs w:val="21"/>
                <w:highlight w:val="none"/>
              </w:rPr>
              <w:t>个月</w:t>
            </w:r>
          </w:p>
        </w:tc>
      </w:tr>
      <w:tr w14:paraId="2DA86D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621" w:type="dxa"/>
            <w:gridSpan w:val="2"/>
            <w:noWrap w:val="0"/>
            <w:tcMar>
              <w:top w:w="16" w:type="dxa"/>
              <w:left w:w="16" w:type="dxa"/>
              <w:right w:w="16" w:type="dxa"/>
            </w:tcMar>
            <w:vAlign w:val="center"/>
          </w:tcPr>
          <w:p w14:paraId="27BF01D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是否开工建设</w:t>
            </w:r>
          </w:p>
        </w:tc>
        <w:tc>
          <w:tcPr>
            <w:tcW w:w="2398" w:type="dxa"/>
            <w:noWrap w:val="0"/>
            <w:vAlign w:val="center"/>
          </w:tcPr>
          <w:p w14:paraId="6D18C3BA">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sym w:font="Wingdings" w:char="00FE"/>
            </w:r>
            <w:r>
              <w:rPr>
                <w:rFonts w:hint="default" w:ascii="Times New Roman" w:hAnsi="Times New Roman" w:eastAsia="宋体" w:cs="Times New Roman"/>
                <w:color w:val="auto"/>
                <w:szCs w:val="21"/>
                <w:highlight w:val="none"/>
              </w:rPr>
              <w:t>否</w:t>
            </w:r>
          </w:p>
          <w:p w14:paraId="0D27556D">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sym w:font="Wingdings" w:char="00A8"/>
            </w:r>
            <w:r>
              <w:rPr>
                <w:rFonts w:hint="default" w:ascii="Times New Roman" w:hAnsi="Times New Roman" w:eastAsia="宋体" w:cs="Times New Roman"/>
                <w:color w:val="auto"/>
                <w:szCs w:val="21"/>
                <w:highlight w:val="none"/>
              </w:rPr>
              <w:t>是：</w:t>
            </w:r>
            <w:r>
              <w:rPr>
                <w:rFonts w:hint="default" w:ascii="Times New Roman" w:hAnsi="Times New Roman" w:eastAsia="宋体" w:cs="Times New Roman"/>
                <w:color w:val="auto"/>
                <w:szCs w:val="21"/>
                <w:highlight w:val="none"/>
                <w:u w:val="single"/>
              </w:rPr>
              <w:t xml:space="preserve">             </w:t>
            </w:r>
          </w:p>
        </w:tc>
        <w:tc>
          <w:tcPr>
            <w:tcW w:w="2231" w:type="dxa"/>
            <w:gridSpan w:val="2"/>
            <w:noWrap w:val="0"/>
            <w:tcMar>
              <w:top w:w="16" w:type="dxa"/>
              <w:left w:w="16" w:type="dxa"/>
              <w:right w:w="16" w:type="dxa"/>
            </w:tcMar>
            <w:vAlign w:val="center"/>
          </w:tcPr>
          <w:p w14:paraId="06EB51E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pacing w:val="-6"/>
                <w:szCs w:val="21"/>
                <w:highlight w:val="none"/>
              </w:rPr>
            </w:pPr>
            <w:r>
              <w:rPr>
                <w:rFonts w:hint="default" w:ascii="Times New Roman" w:hAnsi="Times New Roman" w:eastAsia="宋体" w:cs="Times New Roman"/>
                <w:color w:val="auto"/>
                <w:spacing w:val="-6"/>
                <w:szCs w:val="21"/>
                <w:highlight w:val="none"/>
              </w:rPr>
              <w:t>用地（用海）</w:t>
            </w:r>
          </w:p>
          <w:p w14:paraId="717E006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pacing w:val="-6"/>
                <w:szCs w:val="21"/>
                <w:highlight w:val="none"/>
              </w:rPr>
              <w:t>面积（m</w:t>
            </w:r>
            <w:r>
              <w:rPr>
                <w:rFonts w:hint="default" w:ascii="Times New Roman" w:hAnsi="Times New Roman" w:eastAsia="宋体" w:cs="Times New Roman"/>
                <w:color w:val="auto"/>
                <w:spacing w:val="-6"/>
                <w:szCs w:val="21"/>
                <w:highlight w:val="none"/>
                <w:vertAlign w:val="superscript"/>
              </w:rPr>
              <w:t>2</w:t>
            </w:r>
            <w:r>
              <w:rPr>
                <w:rFonts w:hint="default" w:ascii="Times New Roman" w:hAnsi="Times New Roman" w:eastAsia="宋体" w:cs="Times New Roman"/>
                <w:color w:val="auto"/>
                <w:spacing w:val="-6"/>
                <w:szCs w:val="21"/>
                <w:highlight w:val="none"/>
              </w:rPr>
              <w:t>）</w:t>
            </w:r>
          </w:p>
        </w:tc>
        <w:tc>
          <w:tcPr>
            <w:tcW w:w="2620" w:type="dxa"/>
            <w:noWrap w:val="0"/>
            <w:vAlign w:val="center"/>
          </w:tcPr>
          <w:p w14:paraId="5456F7A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1000</w:t>
            </w:r>
          </w:p>
        </w:tc>
      </w:tr>
      <w:tr w14:paraId="3A04E7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621" w:type="dxa"/>
            <w:gridSpan w:val="2"/>
            <w:noWrap w:val="0"/>
            <w:vAlign w:val="center"/>
          </w:tcPr>
          <w:p w14:paraId="798A29D5">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专项评价</w:t>
            </w:r>
          </w:p>
          <w:p w14:paraId="7AA6128B">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设置情况</w:t>
            </w:r>
          </w:p>
        </w:tc>
        <w:tc>
          <w:tcPr>
            <w:tcW w:w="7249" w:type="dxa"/>
            <w:gridSpan w:val="4"/>
            <w:noWrap w:val="0"/>
            <w:vAlign w:val="center"/>
          </w:tcPr>
          <w:p w14:paraId="1A9FC03E">
            <w:pPr>
              <w:keepNext w:val="0"/>
              <w:keepLines w:val="0"/>
              <w:pageBreakBefore w:val="0"/>
              <w:widowControl w:val="0"/>
              <w:suppressLineNumbers w:val="0"/>
              <w:kinsoku/>
              <w:wordWrap/>
              <w:overflowPunct/>
              <w:topLinePunct w:val="0"/>
              <w:autoSpaceDE w:val="0"/>
              <w:autoSpaceDN w:val="0"/>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无</w:t>
            </w:r>
          </w:p>
        </w:tc>
      </w:tr>
      <w:tr w14:paraId="7EF36C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1621" w:type="dxa"/>
            <w:gridSpan w:val="2"/>
            <w:noWrap w:val="0"/>
            <w:vAlign w:val="center"/>
          </w:tcPr>
          <w:p w14:paraId="3B0FA341">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szCs w:val="21"/>
                <w:highlight w:val="none"/>
              </w:rPr>
              <w:t>规划情况</w:t>
            </w:r>
          </w:p>
        </w:tc>
        <w:tc>
          <w:tcPr>
            <w:tcW w:w="7249" w:type="dxa"/>
            <w:gridSpan w:val="4"/>
            <w:noWrap w:val="0"/>
            <w:vAlign w:val="center"/>
          </w:tcPr>
          <w:p w14:paraId="657BA68A">
            <w:pPr>
              <w:keepNext w:val="0"/>
              <w:keepLines w:val="0"/>
              <w:pageBreakBefore w:val="0"/>
              <w:widowControl w:val="0"/>
              <w:suppressLineNumbers w:val="0"/>
              <w:kinsoku/>
              <w:wordWrap/>
              <w:overflowPunct/>
              <w:topLinePunct w:val="0"/>
              <w:bidi w:val="0"/>
              <w:adjustRightInd w:val="0"/>
              <w:snapToGrid w:val="0"/>
              <w:spacing w:beforeAutospacing="0" w:afterAutospacing="0" w:line="36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kern w:val="0"/>
                <w:szCs w:val="21"/>
                <w:highlight w:val="none"/>
              </w:rPr>
              <w:t>无</w:t>
            </w:r>
          </w:p>
        </w:tc>
      </w:tr>
      <w:tr w14:paraId="2E86CD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621" w:type="dxa"/>
            <w:gridSpan w:val="2"/>
            <w:noWrap w:val="0"/>
            <w:vAlign w:val="center"/>
          </w:tcPr>
          <w:p w14:paraId="479EB31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规划环境影响</w:t>
            </w:r>
          </w:p>
          <w:p w14:paraId="6DBE0A7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szCs w:val="21"/>
                <w:highlight w:val="none"/>
              </w:rPr>
              <w:t>评价情况</w:t>
            </w:r>
          </w:p>
        </w:tc>
        <w:tc>
          <w:tcPr>
            <w:tcW w:w="7249" w:type="dxa"/>
            <w:gridSpan w:val="4"/>
            <w:noWrap w:val="0"/>
            <w:vAlign w:val="center"/>
          </w:tcPr>
          <w:p w14:paraId="2603A08A">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auto"/>
              <w:ind w:left="0" w:right="0" w:firstLine="0" w:firstLineChars="0"/>
              <w:jc w:val="center"/>
              <w:textAlignment w:val="auto"/>
              <w:rPr>
                <w:rFonts w:hint="default" w:ascii="Times New Roman" w:hAnsi="Times New Roman" w:eastAsia="宋体" w:cs="Times New Roman"/>
                <w:color w:val="auto"/>
                <w:kern w:val="0"/>
                <w:szCs w:val="21"/>
                <w:highlight w:val="none"/>
                <w:lang w:eastAsia="zh-CN"/>
              </w:rPr>
            </w:pPr>
            <w:r>
              <w:rPr>
                <w:rFonts w:hint="default" w:ascii="Times New Roman" w:hAnsi="Times New Roman" w:eastAsia="宋体" w:cs="Times New Roman"/>
                <w:color w:val="auto"/>
                <w:kern w:val="0"/>
                <w:szCs w:val="21"/>
                <w:highlight w:val="none"/>
              </w:rPr>
              <w:t>无</w:t>
            </w:r>
          </w:p>
        </w:tc>
      </w:tr>
      <w:tr w14:paraId="65B75E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21" w:type="dxa"/>
            <w:gridSpan w:val="2"/>
            <w:noWrap w:val="0"/>
            <w:vAlign w:val="center"/>
          </w:tcPr>
          <w:p w14:paraId="408D03F1">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规划及规划环境影响评价符合性分析</w:t>
            </w:r>
          </w:p>
        </w:tc>
        <w:tc>
          <w:tcPr>
            <w:tcW w:w="7249" w:type="dxa"/>
            <w:gridSpan w:val="4"/>
            <w:noWrap w:val="0"/>
            <w:vAlign w:val="center"/>
          </w:tcPr>
          <w:p w14:paraId="4FC010B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kern w:val="0"/>
                <w:szCs w:val="21"/>
                <w:highlight w:val="none"/>
              </w:rPr>
              <w:t>无</w:t>
            </w:r>
          </w:p>
        </w:tc>
      </w:tr>
      <w:tr w14:paraId="7FC376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21" w:type="dxa"/>
            <w:gridSpan w:val="2"/>
            <w:noWrap w:val="0"/>
            <w:vAlign w:val="center"/>
          </w:tcPr>
          <w:p w14:paraId="5186FEDA">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其他符合性分析</w:t>
            </w:r>
          </w:p>
        </w:tc>
        <w:tc>
          <w:tcPr>
            <w:tcW w:w="7249" w:type="dxa"/>
            <w:gridSpan w:val="4"/>
            <w:noWrap w:val="0"/>
            <w:vAlign w:val="center"/>
          </w:tcPr>
          <w:p w14:paraId="38C96331">
            <w:pPr>
              <w:keepNext w:val="0"/>
              <w:keepLines w:val="0"/>
              <w:numPr>
                <w:ilvl w:val="0"/>
                <w:numId w:val="0"/>
              </w:numPr>
              <w:suppressLineNumbers w:val="0"/>
              <w:autoSpaceDE w:val="0"/>
              <w:autoSpaceDN w:val="0"/>
              <w:adjustRightInd w:val="0"/>
              <w:snapToGrid w:val="0"/>
              <w:spacing w:before="120" w:beforeLines="50" w:beforeAutospacing="0" w:after="0" w:afterAutospacing="0" w:line="360" w:lineRule="auto"/>
              <w:ind w:left="0" w:right="0" w:firstLine="482" w:firstLineChars="200"/>
              <w:jc w:val="left"/>
              <w:rPr>
                <w:rFonts w:hint="default" w:ascii="Times New Roman" w:hAnsi="Times New Roman" w:eastAsia="宋体" w:cs="Times New Roman"/>
                <w:b/>
                <w:bCs/>
                <w:color w:val="auto"/>
                <w:kern w:val="0"/>
                <w:sz w:val="24"/>
                <w:szCs w:val="24"/>
                <w:highlight w:val="none"/>
              </w:rPr>
            </w:pPr>
            <w:r>
              <w:rPr>
                <w:rFonts w:hint="eastAsia" w:ascii="Times New Roman" w:hAnsi="Times New Roman" w:eastAsia="宋体" w:cs="Times New Roman"/>
                <w:b/>
                <w:bCs/>
                <w:color w:val="auto"/>
                <w:kern w:val="0"/>
                <w:sz w:val="24"/>
                <w:szCs w:val="24"/>
                <w:highlight w:val="none"/>
                <w:lang w:val="en-US" w:eastAsia="zh-CN"/>
              </w:rPr>
              <w:t>1、</w:t>
            </w:r>
            <w:r>
              <w:rPr>
                <w:rFonts w:hint="default" w:ascii="Times New Roman" w:hAnsi="Times New Roman" w:eastAsia="宋体" w:cs="Times New Roman"/>
                <w:b/>
                <w:bCs/>
                <w:color w:val="auto"/>
                <w:kern w:val="0"/>
                <w:sz w:val="24"/>
                <w:szCs w:val="24"/>
                <w:highlight w:val="none"/>
              </w:rPr>
              <w:t>产业政策相符性分析</w:t>
            </w:r>
          </w:p>
          <w:p w14:paraId="4A7A652F">
            <w:pPr>
              <w:pStyle w:val="15"/>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根据</w:t>
            </w:r>
            <w:r>
              <w:rPr>
                <w:rFonts w:hint="default" w:ascii="Times New Roman" w:hAnsi="Times New Roman" w:eastAsia="宋体" w:cs="Times New Roman"/>
                <w:color w:val="auto"/>
                <w:sz w:val="24"/>
                <w:szCs w:val="24"/>
                <w:highlight w:val="none"/>
              </w:rPr>
              <w:t>《国民经济行业类别》（GB/T4754-2017）及其第1号修改单（国统字【2019】66号）</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本项目行业类别属于C2231纸和纸板容器制造</w:t>
            </w:r>
            <w:r>
              <w:rPr>
                <w:rFonts w:hint="eastAsia" w:cs="Times New Roman"/>
                <w:color w:val="auto"/>
                <w:sz w:val="24"/>
                <w:szCs w:val="24"/>
                <w:highlight w:val="none"/>
                <w:lang w:val="en-US" w:eastAsia="zh-CN"/>
              </w:rPr>
              <w:t>和</w:t>
            </w:r>
            <w:r>
              <w:rPr>
                <w:rFonts w:hint="default" w:ascii="Times New Roman" w:hAnsi="Times New Roman" w:eastAsia="宋体" w:cs="Times New Roman"/>
                <w:color w:val="auto"/>
                <w:sz w:val="24"/>
                <w:szCs w:val="24"/>
                <w:highlight w:val="none"/>
              </w:rPr>
              <w:t>C2319包装装潢及其他印刷。</w:t>
            </w:r>
          </w:p>
          <w:p w14:paraId="516E39D4">
            <w:pPr>
              <w:pStyle w:val="85"/>
              <w:spacing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lang w:eastAsia="zh-CN"/>
              </w:rPr>
              <w:t>）与《产业结构调整指导目录（20</w:t>
            </w:r>
            <w:r>
              <w:rPr>
                <w:rFonts w:hint="default" w:ascii="Times New Roman" w:hAnsi="Times New Roman" w:cs="Times New Roman"/>
                <w:color w:val="auto"/>
                <w:sz w:val="24"/>
                <w:szCs w:val="24"/>
                <w:highlight w:val="none"/>
                <w:lang w:val="en-US" w:eastAsia="zh-CN"/>
              </w:rPr>
              <w:t>24</w:t>
            </w:r>
            <w:r>
              <w:rPr>
                <w:rFonts w:hint="default" w:ascii="Times New Roman" w:hAnsi="Times New Roman" w:cs="Times New Roman"/>
                <w:color w:val="auto"/>
                <w:sz w:val="24"/>
                <w:szCs w:val="24"/>
                <w:highlight w:val="none"/>
                <w:lang w:eastAsia="zh-CN"/>
              </w:rPr>
              <w:t>年本）》相符性分析。</w:t>
            </w:r>
            <w:r>
              <w:rPr>
                <w:rFonts w:hint="default" w:ascii="Times New Roman" w:hAnsi="Times New Roman" w:cs="Times New Roman"/>
                <w:color w:val="auto"/>
                <w:sz w:val="24"/>
                <w:szCs w:val="24"/>
                <w:highlight w:val="none"/>
              </w:rPr>
              <w:t>对照《产业结构调整指导目录》</w:t>
            </w:r>
            <w:r>
              <w:rPr>
                <w:rFonts w:hint="default" w:ascii="Times New Roman" w:hAnsi="Times New Roman" w:cs="Times New Roman"/>
                <w:color w:val="auto"/>
                <w:sz w:val="24"/>
                <w:szCs w:val="24"/>
                <w:highlight w:val="none"/>
                <w:lang w:eastAsia="zh-CN"/>
              </w:rPr>
              <w:t>（20</w:t>
            </w:r>
            <w:r>
              <w:rPr>
                <w:rFonts w:hint="default" w:ascii="Times New Roman" w:hAnsi="Times New Roman" w:cs="Times New Roman"/>
                <w:color w:val="auto"/>
                <w:sz w:val="24"/>
                <w:szCs w:val="24"/>
                <w:highlight w:val="none"/>
                <w:lang w:val="en-US" w:eastAsia="zh-CN"/>
              </w:rPr>
              <w:t>24</w:t>
            </w:r>
            <w:r>
              <w:rPr>
                <w:rFonts w:hint="default" w:ascii="Times New Roman" w:hAnsi="Times New Roman" w:cs="Times New Roman"/>
                <w:color w:val="auto"/>
                <w:sz w:val="24"/>
                <w:szCs w:val="24"/>
                <w:highlight w:val="none"/>
                <w:lang w:eastAsia="zh-CN"/>
              </w:rPr>
              <w:t>年本）</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（国家发展和改革委员会令第7号）</w:t>
            </w:r>
            <w:r>
              <w:rPr>
                <w:rFonts w:hint="default" w:ascii="Times New Roman" w:hAnsi="Times New Roman" w:cs="Times New Roman"/>
                <w:color w:val="auto"/>
                <w:sz w:val="24"/>
                <w:szCs w:val="24"/>
                <w:highlight w:val="none"/>
              </w:rPr>
              <w:t>，本项目产品、工艺、设备均</w:t>
            </w:r>
            <w:r>
              <w:rPr>
                <w:rFonts w:hint="default" w:ascii="Times New Roman" w:hAnsi="Times New Roman" w:cs="Times New Roman"/>
                <w:color w:val="auto"/>
                <w:kern w:val="0"/>
                <w:sz w:val="24"/>
                <w:szCs w:val="24"/>
                <w:highlight w:val="none"/>
              </w:rPr>
              <w:t>不属于目录中</w:t>
            </w:r>
            <w:r>
              <w:rPr>
                <w:rFonts w:hint="default" w:ascii="Times New Roman" w:hAnsi="Times New Roman" w:cs="Times New Roman"/>
                <w:color w:val="auto"/>
                <w:kern w:val="0"/>
                <w:sz w:val="24"/>
                <w:szCs w:val="24"/>
                <w:highlight w:val="none"/>
                <w:lang w:val="en-US" w:eastAsia="zh-CN"/>
              </w:rPr>
              <w:t>鼓励类、</w:t>
            </w:r>
            <w:r>
              <w:rPr>
                <w:rFonts w:hint="default" w:ascii="Times New Roman" w:hAnsi="Times New Roman" w:cs="Times New Roman"/>
                <w:color w:val="auto"/>
                <w:kern w:val="0"/>
                <w:sz w:val="24"/>
                <w:szCs w:val="24"/>
                <w:highlight w:val="none"/>
              </w:rPr>
              <w:t>限制类、淘汰类之列，为允许类</w:t>
            </w:r>
            <w:r>
              <w:rPr>
                <w:rFonts w:hint="default" w:ascii="Times New Roman" w:hAnsi="Times New Roman" w:cs="Times New Roman"/>
                <w:color w:val="auto"/>
                <w:kern w:val="0"/>
                <w:sz w:val="24"/>
                <w:szCs w:val="24"/>
                <w:highlight w:val="none"/>
                <w:lang w:eastAsia="zh-CN"/>
              </w:rPr>
              <w:t>，</w:t>
            </w:r>
            <w:r>
              <w:rPr>
                <w:rFonts w:hint="default" w:ascii="Times New Roman" w:hAnsi="Times New Roman" w:cs="Times New Roman"/>
                <w:color w:val="auto"/>
                <w:kern w:val="0"/>
                <w:sz w:val="24"/>
                <w:szCs w:val="24"/>
                <w:highlight w:val="none"/>
              </w:rPr>
              <w:t>符合国家</w:t>
            </w:r>
            <w:r>
              <w:rPr>
                <w:rFonts w:hint="default" w:ascii="Times New Roman" w:hAnsi="Times New Roman" w:cs="Times New Roman"/>
                <w:color w:val="auto"/>
                <w:sz w:val="24"/>
                <w:szCs w:val="24"/>
                <w:highlight w:val="none"/>
              </w:rPr>
              <w:t>产业政策的要求。</w:t>
            </w:r>
          </w:p>
          <w:p w14:paraId="2F998842">
            <w:pPr>
              <w:pStyle w:val="85"/>
              <w:spacing w:line="360" w:lineRule="auto"/>
              <w:ind w:firstLine="480" w:firstLineChars="200"/>
              <w:rPr>
                <w:rFonts w:hint="default" w:ascii="Times New Roman" w:hAnsi="Times New Roman" w:eastAsia="宋体" w:cs="Times New Roman"/>
                <w:color w:val="auto"/>
                <w:kern w:val="0"/>
                <w:szCs w:val="21"/>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与《市场准入负面清单（202</w:t>
            </w:r>
            <w:r>
              <w:rPr>
                <w:rFonts w:hint="default"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年版）》相符性分析</w:t>
            </w:r>
            <w:r>
              <w:rPr>
                <w:rFonts w:hint="default"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根据《国家发展改革委、商务部关于印发〈市场准入负面清单（2025年版）〉的通知》（发改体改规〔2025〕466号）</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sz w:val="24"/>
                <w:szCs w:val="24"/>
                <w:highlight w:val="none"/>
              </w:rPr>
              <w:t>本项目</w:t>
            </w:r>
            <w:r>
              <w:rPr>
                <w:rFonts w:hint="eastAsia" w:cs="Times New Roman"/>
                <w:color w:val="auto"/>
                <w:sz w:val="24"/>
                <w:szCs w:val="24"/>
                <w:highlight w:val="none"/>
                <w:lang w:val="en-US" w:eastAsia="zh-CN"/>
              </w:rPr>
              <w:t>的</w:t>
            </w:r>
            <w:r>
              <w:rPr>
                <w:rFonts w:hint="default" w:ascii="Times New Roman" w:hAnsi="Times New Roman" w:cs="Times New Roman"/>
                <w:color w:val="auto"/>
                <w:sz w:val="24"/>
                <w:szCs w:val="24"/>
                <w:highlight w:val="none"/>
              </w:rPr>
              <w:t>产品、工艺、设备均</w:t>
            </w:r>
            <w:r>
              <w:rPr>
                <w:rFonts w:hint="default" w:ascii="Times New Roman" w:hAnsi="Times New Roman" w:cs="Times New Roman"/>
                <w:color w:val="auto"/>
                <w:kern w:val="0"/>
                <w:sz w:val="24"/>
                <w:szCs w:val="24"/>
                <w:highlight w:val="none"/>
              </w:rPr>
              <w:t>不属于</w:t>
            </w:r>
            <w:r>
              <w:rPr>
                <w:rFonts w:hint="default" w:ascii="Times New Roman" w:hAnsi="Times New Roman" w:cs="Times New Roman"/>
                <w:color w:val="auto"/>
                <w:sz w:val="24"/>
                <w:szCs w:val="24"/>
                <w:highlight w:val="none"/>
              </w:rPr>
              <w:t>市场准入负面清单中的禁止准入类、许可准入类项目，属于可依法平等进入项目</w:t>
            </w:r>
            <w:r>
              <w:rPr>
                <w:rFonts w:hint="default" w:ascii="Times New Roman" w:hAnsi="Times New Roman" w:eastAsia="宋体" w:cs="Times New Roman"/>
                <w:color w:val="auto"/>
                <w:kern w:val="0"/>
                <w:sz w:val="24"/>
                <w:szCs w:val="24"/>
                <w:highlight w:val="none"/>
              </w:rPr>
              <w:t>，符合国家现行产业政策</w:t>
            </w:r>
            <w:r>
              <w:rPr>
                <w:rFonts w:hint="default" w:ascii="Times New Roman" w:hAnsi="Times New Roman" w:eastAsia="宋体" w:cs="Times New Roman"/>
                <w:color w:val="auto"/>
                <w:sz w:val="24"/>
                <w:szCs w:val="24"/>
                <w:highlight w:val="none"/>
              </w:rPr>
              <w:t>。</w:t>
            </w:r>
          </w:p>
        </w:tc>
      </w:tr>
      <w:tr w14:paraId="56650B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94" w:hRule="atLeast"/>
          <w:jc w:val="center"/>
        </w:trPr>
        <w:tc>
          <w:tcPr>
            <w:tcW w:w="645" w:type="dxa"/>
            <w:noWrap w:val="0"/>
            <w:vAlign w:val="center"/>
          </w:tcPr>
          <w:p w14:paraId="2E717947">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p>
        </w:tc>
        <w:tc>
          <w:tcPr>
            <w:tcW w:w="8225" w:type="dxa"/>
            <w:gridSpan w:val="5"/>
            <w:noWrap w:val="0"/>
            <w:vAlign w:val="center"/>
          </w:tcPr>
          <w:p w14:paraId="12BD2CC9">
            <w:pPr>
              <w:keepNext w:val="0"/>
              <w:keepLines w:val="0"/>
              <w:numPr>
                <w:ilvl w:val="0"/>
                <w:numId w:val="0"/>
              </w:numPr>
              <w:suppressLineNumbers w:val="0"/>
              <w:autoSpaceDE w:val="0"/>
              <w:autoSpaceDN w:val="0"/>
              <w:adjustRightInd w:val="0"/>
              <w:snapToGrid w:val="0"/>
              <w:spacing w:before="120" w:beforeLines="50" w:beforeAutospacing="0" w:after="0" w:afterAutospacing="0" w:line="360" w:lineRule="auto"/>
              <w:ind w:left="0" w:right="0" w:firstLine="482" w:firstLineChars="200"/>
              <w:jc w:val="left"/>
              <w:rPr>
                <w:rFonts w:hint="default" w:ascii="Times New Roman" w:hAnsi="Times New Roman" w:eastAsia="宋体" w:cs="Times New Roman"/>
                <w:b/>
                <w:bCs/>
                <w:color w:val="auto"/>
                <w:kern w:val="0"/>
                <w:sz w:val="24"/>
                <w:szCs w:val="24"/>
                <w:highlight w:val="none"/>
                <w:lang w:val="en-US" w:eastAsia="zh-CN"/>
              </w:rPr>
            </w:pPr>
            <w:r>
              <w:rPr>
                <w:rFonts w:hint="eastAsia" w:ascii="Times New Roman" w:hAnsi="Times New Roman" w:eastAsia="宋体" w:cs="Times New Roman"/>
                <w:b/>
                <w:bCs/>
                <w:color w:val="auto"/>
                <w:kern w:val="0"/>
                <w:sz w:val="24"/>
                <w:szCs w:val="24"/>
                <w:highlight w:val="none"/>
                <w:lang w:val="en-US" w:eastAsia="zh-CN"/>
              </w:rPr>
              <w:t>2、与“三线一单”符合性分析</w:t>
            </w:r>
          </w:p>
          <w:p w14:paraId="20845C35">
            <w:pPr>
              <w:keepNext w:val="0"/>
              <w:keepLines w:val="0"/>
              <w:numPr>
                <w:ilvl w:val="0"/>
                <w:numId w:val="0"/>
              </w:numPr>
              <w:suppressLineNumbers w:val="0"/>
              <w:autoSpaceDE w:val="0"/>
              <w:autoSpaceDN w:val="0"/>
              <w:adjustRightInd w:val="0"/>
              <w:snapToGrid w:val="0"/>
              <w:spacing w:before="0" w:beforeAutospacing="0" w:after="0" w:afterAutospacing="0" w:line="360" w:lineRule="auto"/>
              <w:ind w:left="0" w:right="0" w:firstLine="482" w:firstLineChars="200"/>
              <w:jc w:val="left"/>
              <w:rPr>
                <w:rFonts w:hint="default" w:ascii="Times New Roman" w:hAnsi="Times New Roman" w:eastAsia="宋体" w:cs="Times New Roman"/>
                <w:b/>
                <w:bCs/>
                <w:color w:val="auto"/>
                <w:kern w:val="0"/>
                <w:sz w:val="24"/>
                <w:szCs w:val="24"/>
                <w:highlight w:val="none"/>
              </w:rPr>
            </w:pPr>
            <w:r>
              <w:rPr>
                <w:rFonts w:hint="default" w:ascii="Times New Roman" w:hAnsi="Times New Roman" w:eastAsia="宋体" w:cs="Times New Roman"/>
                <w:b/>
                <w:bCs/>
                <w:color w:val="auto"/>
                <w:kern w:val="0"/>
                <w:sz w:val="24"/>
                <w:szCs w:val="24"/>
                <w:highlight w:val="none"/>
              </w:rPr>
              <w:t>①与《广东省“三线一单”生态环境分区管控方案》（粤符202070号）相符性分析</w:t>
            </w:r>
          </w:p>
          <w:p w14:paraId="3432DAE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0"/>
                <w:szCs w:val="21"/>
                <w:highlight w:val="none"/>
                <w:lang w:val="en-US" w:eastAsia="zh-CN"/>
              </w:rPr>
            </w:pPr>
            <w:r>
              <w:rPr>
                <w:rFonts w:hint="eastAsia" w:ascii="Times New Roman" w:hAnsi="Times New Roman" w:eastAsia="宋体" w:cs="Times New Roman"/>
                <w:b/>
                <w:bCs/>
                <w:color w:val="auto"/>
                <w:kern w:val="0"/>
                <w:szCs w:val="21"/>
                <w:highlight w:val="none"/>
                <w:lang w:val="en-US" w:eastAsia="zh-CN"/>
              </w:rPr>
              <w:t>表</w:t>
            </w:r>
            <w:r>
              <w:rPr>
                <w:rFonts w:hint="eastAsia" w:cs="Times New Roman"/>
                <w:b/>
                <w:bCs/>
                <w:color w:val="auto"/>
                <w:kern w:val="0"/>
                <w:szCs w:val="21"/>
                <w:highlight w:val="none"/>
                <w:lang w:val="en-US" w:eastAsia="zh-CN"/>
              </w:rPr>
              <w:t>1-</w:t>
            </w:r>
            <w:r>
              <w:rPr>
                <w:rFonts w:hint="eastAsia" w:ascii="Times New Roman" w:hAnsi="Times New Roman" w:eastAsia="宋体" w:cs="Times New Roman"/>
                <w:b/>
                <w:bCs/>
                <w:color w:val="auto"/>
                <w:kern w:val="0"/>
                <w:szCs w:val="21"/>
                <w:highlight w:val="none"/>
                <w:lang w:val="en-US" w:eastAsia="zh-CN"/>
              </w:rPr>
              <w:t>3 项目与广东省三线一单符合性分析</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5"/>
              <w:gridCol w:w="5689"/>
              <w:gridCol w:w="1000"/>
            </w:tblGrid>
            <w:tr w14:paraId="3B3CA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1185" w:type="dxa"/>
                  <w:noWrap w:val="0"/>
                  <w:vAlign w:val="center"/>
                </w:tcPr>
                <w:p w14:paraId="422C36E9">
                  <w:pPr>
                    <w:pStyle w:val="63"/>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b/>
                      <w:bCs w:val="0"/>
                      <w:color w:val="auto"/>
                      <w:szCs w:val="21"/>
                      <w:highlight w:val="none"/>
                    </w:rPr>
                  </w:pPr>
                  <w:r>
                    <w:rPr>
                      <w:rFonts w:hint="default" w:ascii="Times New Roman" w:hAnsi="Times New Roman" w:eastAsia="宋体" w:cs="Times New Roman"/>
                      <w:b/>
                      <w:bCs w:val="0"/>
                      <w:color w:val="auto"/>
                      <w:szCs w:val="21"/>
                      <w:highlight w:val="none"/>
                    </w:rPr>
                    <w:t>类别</w:t>
                  </w:r>
                </w:p>
              </w:tc>
              <w:tc>
                <w:tcPr>
                  <w:tcW w:w="5689" w:type="dxa"/>
                  <w:noWrap w:val="0"/>
                  <w:vAlign w:val="center"/>
                </w:tcPr>
                <w:p w14:paraId="2E06761D">
                  <w:pPr>
                    <w:pStyle w:val="63"/>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b/>
                      <w:bCs w:val="0"/>
                      <w:color w:val="auto"/>
                      <w:szCs w:val="21"/>
                      <w:highlight w:val="none"/>
                    </w:rPr>
                  </w:pPr>
                  <w:r>
                    <w:rPr>
                      <w:rFonts w:hint="default" w:ascii="Times New Roman" w:hAnsi="Times New Roman" w:eastAsia="宋体" w:cs="Times New Roman"/>
                      <w:b/>
                      <w:bCs w:val="0"/>
                      <w:color w:val="auto"/>
                      <w:szCs w:val="21"/>
                      <w:highlight w:val="none"/>
                    </w:rPr>
                    <w:t>项目与三线一单相符性分析</w:t>
                  </w:r>
                </w:p>
              </w:tc>
              <w:tc>
                <w:tcPr>
                  <w:tcW w:w="1000" w:type="dxa"/>
                  <w:noWrap w:val="0"/>
                  <w:vAlign w:val="center"/>
                </w:tcPr>
                <w:p w14:paraId="283705DA">
                  <w:pPr>
                    <w:pStyle w:val="63"/>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b/>
                      <w:bCs w:val="0"/>
                      <w:color w:val="auto"/>
                      <w:szCs w:val="21"/>
                      <w:highlight w:val="none"/>
                    </w:rPr>
                  </w:pPr>
                  <w:r>
                    <w:rPr>
                      <w:rFonts w:hint="default" w:ascii="Times New Roman" w:hAnsi="Times New Roman" w:eastAsia="宋体" w:cs="Times New Roman"/>
                      <w:b/>
                      <w:bCs w:val="0"/>
                      <w:color w:val="auto"/>
                      <w:szCs w:val="21"/>
                      <w:highlight w:val="none"/>
                    </w:rPr>
                    <w:t>相符性</w:t>
                  </w:r>
                </w:p>
              </w:tc>
            </w:tr>
            <w:tr w14:paraId="2CA7B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85" w:type="dxa"/>
                  <w:noWrap w:val="0"/>
                  <w:vAlign w:val="center"/>
                </w:tcPr>
                <w:p w14:paraId="2708E137">
                  <w:pPr>
                    <w:pStyle w:val="63"/>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生态保护红线</w:t>
                  </w:r>
                </w:p>
              </w:tc>
              <w:tc>
                <w:tcPr>
                  <w:tcW w:w="5689" w:type="dxa"/>
                  <w:noWrap w:val="0"/>
                  <w:vAlign w:val="center"/>
                </w:tcPr>
                <w:p w14:paraId="74D14FD2">
                  <w:pPr>
                    <w:pStyle w:val="63"/>
                    <w:keepNext w:val="0"/>
                    <w:keepLines w:val="0"/>
                    <w:suppressLineNumbers w:val="0"/>
                    <w:spacing w:before="0" w:beforeAutospacing="0" w:after="0" w:afterAutospacing="0"/>
                    <w:ind w:left="0" w:right="0" w:firstLine="0" w:firstLineChars="0"/>
                    <w:jc w:val="both"/>
                    <w:rPr>
                      <w:rFonts w:hint="eastAsia"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t>本项目所在地位于</w:t>
                  </w:r>
                  <w:r>
                    <w:rPr>
                      <w:rFonts w:hint="eastAsia" w:cs="Times New Roman"/>
                      <w:color w:val="auto"/>
                      <w:szCs w:val="21"/>
                      <w:highlight w:val="none"/>
                      <w:lang w:eastAsia="zh-CN"/>
                    </w:rPr>
                    <w:t>阳江市阳东区北惯镇金田六路西边及霍达七路南边BN-01-12a</w:t>
                  </w:r>
                  <w:r>
                    <w:rPr>
                      <w:rFonts w:hint="default" w:ascii="Times New Roman" w:hAnsi="Times New Roman" w:eastAsia="宋体" w:cs="Times New Roman"/>
                      <w:color w:val="auto"/>
                      <w:szCs w:val="21"/>
                      <w:highlight w:val="none"/>
                    </w:rPr>
                    <w:t>，项目所在地不属于生态红线区域及一般生态空间范围</w:t>
                  </w:r>
                  <w:r>
                    <w:rPr>
                      <w:rFonts w:hint="eastAsia" w:cs="Times New Roman"/>
                      <w:color w:val="auto"/>
                      <w:szCs w:val="21"/>
                      <w:highlight w:val="none"/>
                      <w:lang w:eastAsia="zh-CN"/>
                    </w:rPr>
                    <w:t>。</w:t>
                  </w:r>
                </w:p>
              </w:tc>
              <w:tc>
                <w:tcPr>
                  <w:tcW w:w="1000" w:type="dxa"/>
                  <w:noWrap w:val="0"/>
                  <w:vAlign w:val="center"/>
                </w:tcPr>
                <w:p w14:paraId="4326E15C">
                  <w:pPr>
                    <w:pStyle w:val="63"/>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符合</w:t>
                  </w:r>
                </w:p>
              </w:tc>
            </w:tr>
            <w:tr w14:paraId="7DB18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1185" w:type="dxa"/>
                  <w:noWrap w:val="0"/>
                  <w:vAlign w:val="center"/>
                </w:tcPr>
                <w:p w14:paraId="5D74DDDD">
                  <w:pPr>
                    <w:pStyle w:val="63"/>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环境质量底线</w:t>
                  </w:r>
                </w:p>
              </w:tc>
              <w:tc>
                <w:tcPr>
                  <w:tcW w:w="5689" w:type="dxa"/>
                  <w:noWrap w:val="0"/>
                  <w:vAlign w:val="center"/>
                </w:tcPr>
                <w:p w14:paraId="6D74B580">
                  <w:pPr>
                    <w:pStyle w:val="63"/>
                    <w:keepNext w:val="0"/>
                    <w:keepLines w:val="0"/>
                    <w:suppressLineNumbers w:val="0"/>
                    <w:spacing w:before="0" w:beforeAutospacing="0" w:after="0" w:afterAutospacing="0"/>
                    <w:ind w:left="0" w:right="0" w:firstLine="0" w:firstLineChars="0"/>
                    <w:jc w:val="both"/>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项目所在区域为达标区，具有充足的环境余量</w:t>
                  </w:r>
                  <w:r>
                    <w:rPr>
                      <w:rFonts w:hint="default" w:ascii="Times New Roman" w:hAnsi="Times New Roman" w:eastAsia="宋体" w:cs="Times New Roman"/>
                      <w:color w:val="auto"/>
                      <w:szCs w:val="21"/>
                      <w:highlight w:val="none"/>
                    </w:rPr>
                    <w:t>，本项目实施后对区域内环境影响较小，</w:t>
                  </w:r>
                  <w:r>
                    <w:rPr>
                      <w:rFonts w:hint="eastAsia" w:ascii="Times New Roman" w:hAnsi="Times New Roman" w:eastAsia="宋体" w:cs="Times New Roman"/>
                      <w:color w:val="auto"/>
                      <w:szCs w:val="21"/>
                      <w:highlight w:val="none"/>
                      <w:lang w:val="en-US" w:eastAsia="zh-CN"/>
                    </w:rPr>
                    <w:t>不会导致环境治理降低。</w:t>
                  </w:r>
                </w:p>
              </w:tc>
              <w:tc>
                <w:tcPr>
                  <w:tcW w:w="1000" w:type="dxa"/>
                  <w:noWrap w:val="0"/>
                  <w:vAlign w:val="center"/>
                </w:tcPr>
                <w:p w14:paraId="7D9D6F43">
                  <w:pPr>
                    <w:pStyle w:val="63"/>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符合</w:t>
                  </w:r>
                </w:p>
              </w:tc>
            </w:tr>
            <w:tr w14:paraId="624ED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4" w:hRule="atLeast"/>
                <w:jc w:val="center"/>
              </w:trPr>
              <w:tc>
                <w:tcPr>
                  <w:tcW w:w="1185" w:type="dxa"/>
                  <w:noWrap w:val="0"/>
                  <w:vAlign w:val="center"/>
                </w:tcPr>
                <w:p w14:paraId="7BBAFD8F">
                  <w:pPr>
                    <w:pStyle w:val="63"/>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资源利用上线</w:t>
                  </w:r>
                </w:p>
              </w:tc>
              <w:tc>
                <w:tcPr>
                  <w:tcW w:w="5689" w:type="dxa"/>
                  <w:noWrap w:val="0"/>
                  <w:vAlign w:val="center"/>
                </w:tcPr>
                <w:p w14:paraId="32F1E379">
                  <w:pPr>
                    <w:pStyle w:val="28"/>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本项目不属于高耗能、高污染、</w:t>
                  </w:r>
                  <w:r>
                    <w:rPr>
                      <w:rFonts w:hint="eastAsia" w:ascii="Times New Roman" w:hAnsi="Times New Roman" w:eastAsia="宋体" w:cs="Times New Roman"/>
                      <w:color w:val="auto"/>
                      <w:sz w:val="21"/>
                      <w:szCs w:val="21"/>
                      <w:highlight w:val="none"/>
                      <w:lang w:val="en-US" w:eastAsia="zh-CN"/>
                    </w:rPr>
                    <w:t>高排放</w:t>
                  </w:r>
                  <w:r>
                    <w:rPr>
                      <w:rFonts w:hint="default" w:ascii="Times New Roman" w:hAnsi="Times New Roman" w:eastAsia="宋体" w:cs="Times New Roman"/>
                      <w:color w:val="auto"/>
                      <w:sz w:val="21"/>
                      <w:szCs w:val="21"/>
                      <w:highlight w:val="none"/>
                      <w:lang w:val="en-US" w:eastAsia="zh-CN"/>
                    </w:rPr>
                    <w:t>企业，用水来自市政自来水管网，用电来自市政供电。本项目建成后通过内部管理、设备选择、原辅材料的选用和管理、废物回收利用、污染治理</w:t>
                  </w:r>
                  <w:r>
                    <w:rPr>
                      <w:rFonts w:hint="eastAsia" w:ascii="Times New Roman" w:hAnsi="Times New Roman" w:eastAsia="宋体" w:cs="Times New Roman"/>
                      <w:color w:val="auto"/>
                      <w:sz w:val="21"/>
                      <w:szCs w:val="21"/>
                      <w:highlight w:val="none"/>
                      <w:lang w:val="en-US" w:eastAsia="zh-CN"/>
                    </w:rPr>
                    <w:t>、清洁生产</w:t>
                  </w:r>
                  <w:r>
                    <w:rPr>
                      <w:rFonts w:hint="default" w:ascii="Times New Roman" w:hAnsi="Times New Roman" w:eastAsia="宋体" w:cs="Times New Roman"/>
                      <w:color w:val="auto"/>
                      <w:sz w:val="21"/>
                      <w:szCs w:val="21"/>
                      <w:highlight w:val="none"/>
                      <w:lang w:val="en-US" w:eastAsia="zh-CN"/>
                    </w:rPr>
                    <w:t>等</w:t>
                  </w:r>
                  <w:r>
                    <w:rPr>
                      <w:rFonts w:hint="eastAsia" w:ascii="Times New Roman" w:hAnsi="Times New Roman" w:eastAsia="宋体" w:cs="Times New Roman"/>
                      <w:color w:val="auto"/>
                      <w:sz w:val="21"/>
                      <w:szCs w:val="21"/>
                      <w:highlight w:val="none"/>
                      <w:lang w:val="en-US" w:eastAsia="zh-CN"/>
                    </w:rPr>
                    <w:t>措施</w:t>
                  </w:r>
                  <w:r>
                    <w:rPr>
                      <w:rFonts w:hint="default" w:ascii="Times New Roman" w:hAnsi="Times New Roman" w:eastAsia="宋体" w:cs="Times New Roman"/>
                      <w:color w:val="auto"/>
                      <w:sz w:val="21"/>
                      <w:szCs w:val="21"/>
                      <w:highlight w:val="none"/>
                      <w:lang w:val="en-US" w:eastAsia="zh-CN"/>
                    </w:rPr>
                    <w:t>，以“节能、降耗、减污”为目标，有效的控制污染。项目的水、电等资源利用不会突破区域的资源利用上线</w:t>
                  </w:r>
                </w:p>
              </w:tc>
              <w:tc>
                <w:tcPr>
                  <w:tcW w:w="1000" w:type="dxa"/>
                  <w:noWrap w:val="0"/>
                  <w:vAlign w:val="center"/>
                </w:tcPr>
                <w:p w14:paraId="19A15555">
                  <w:pPr>
                    <w:pStyle w:val="63"/>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符合</w:t>
                  </w:r>
                </w:p>
              </w:tc>
            </w:tr>
            <w:tr w14:paraId="6676F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1185" w:type="dxa"/>
                  <w:noWrap w:val="0"/>
                  <w:vAlign w:val="center"/>
                </w:tcPr>
                <w:p w14:paraId="03E75FBF">
                  <w:pPr>
                    <w:pStyle w:val="63"/>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生态环境准入清单</w:t>
                  </w:r>
                </w:p>
              </w:tc>
              <w:tc>
                <w:tcPr>
                  <w:tcW w:w="5689" w:type="dxa"/>
                  <w:noWrap w:val="0"/>
                  <w:vAlign w:val="center"/>
                </w:tcPr>
                <w:p w14:paraId="37901BC4">
                  <w:pPr>
                    <w:pStyle w:val="63"/>
                    <w:keepNext w:val="0"/>
                    <w:keepLines w:val="0"/>
                    <w:suppressLineNumbers w:val="0"/>
                    <w:spacing w:before="0" w:beforeAutospacing="0" w:after="0" w:afterAutospacing="0"/>
                    <w:ind w:left="0" w:right="0" w:firstLine="0" w:firstLineChars="0"/>
                    <w:jc w:val="both"/>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本项目不涉及生态环境敏感区域，项目在落实各项环保措施后，对生态环境影响不明显，生态环境功能可维持稳定，符合全省总体管控要求、“一核一带一区”区域管控要求、环境管控单元总体管控要求</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不属于《市场准入负面清单（202</w:t>
                  </w:r>
                  <w:r>
                    <w:rPr>
                      <w:rFonts w:hint="eastAsia" w:ascii="Times New Roman" w:hAnsi="Times New Roman" w:eastAsia="宋体" w:cs="Times New Roman"/>
                      <w:color w:val="auto"/>
                      <w:szCs w:val="21"/>
                      <w:highlight w:val="none"/>
                      <w:lang w:val="en-US" w:eastAsia="zh-CN"/>
                    </w:rPr>
                    <w:t>5</w:t>
                  </w:r>
                  <w:r>
                    <w:rPr>
                      <w:rFonts w:hint="default" w:ascii="Times New Roman" w:hAnsi="Times New Roman" w:eastAsia="宋体" w:cs="Times New Roman"/>
                      <w:color w:val="auto"/>
                      <w:szCs w:val="21"/>
                      <w:highlight w:val="none"/>
                      <w:lang w:val="en-US" w:eastAsia="zh-CN"/>
                    </w:rPr>
                    <w:t>年版）》</w:t>
                  </w:r>
                  <w:r>
                    <w:rPr>
                      <w:rFonts w:hint="eastAsia" w:ascii="Times New Roman" w:hAnsi="Times New Roman" w:eastAsia="宋体" w:cs="Times New Roman"/>
                      <w:color w:val="auto"/>
                      <w:szCs w:val="21"/>
                      <w:highlight w:val="none"/>
                      <w:lang w:val="en-US" w:eastAsia="zh-CN"/>
                    </w:rPr>
                    <w:t>中的禁止或许可事项</w:t>
                  </w:r>
                  <w:r>
                    <w:rPr>
                      <w:rFonts w:hint="default" w:ascii="Times New Roman" w:hAnsi="Times New Roman" w:eastAsia="宋体" w:cs="Times New Roman"/>
                      <w:color w:val="auto"/>
                      <w:szCs w:val="21"/>
                      <w:highlight w:val="none"/>
                      <w:lang w:val="en-US" w:eastAsia="zh-CN"/>
                    </w:rPr>
                    <w:t>。</w:t>
                  </w:r>
                  <w:r>
                    <w:rPr>
                      <w:rFonts w:hint="default" w:ascii="Times New Roman" w:hAnsi="Times New Roman" w:eastAsia="宋体" w:cs="Times New Roman"/>
                      <w:color w:val="auto"/>
                      <w:szCs w:val="21"/>
                      <w:highlight w:val="none"/>
                    </w:rPr>
                    <w:t xml:space="preserve"> </w:t>
                  </w:r>
                </w:p>
              </w:tc>
              <w:tc>
                <w:tcPr>
                  <w:tcW w:w="1000" w:type="dxa"/>
                  <w:noWrap w:val="0"/>
                  <w:vAlign w:val="center"/>
                </w:tcPr>
                <w:p w14:paraId="4A8A4372">
                  <w:pPr>
                    <w:pStyle w:val="63"/>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符合</w:t>
                  </w:r>
                </w:p>
              </w:tc>
            </w:tr>
          </w:tbl>
          <w:p w14:paraId="74D6DE4F">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157" w:beforeLines="50" w:beforeAutospacing="0" w:after="0" w:afterAutospacing="0" w:line="360" w:lineRule="auto"/>
              <w:ind w:left="0" w:right="0" w:firstLine="420" w:firstLineChars="200"/>
              <w:jc w:val="left"/>
              <w:textAlignment w:val="auto"/>
              <w:rPr>
                <w:rFonts w:hint="default" w:ascii="Times New Roman" w:hAnsi="Times New Roman" w:eastAsia="宋体" w:cs="Times New Roman"/>
                <w:b/>
                <w:bCs/>
                <w:color w:val="auto"/>
                <w:kern w:val="0"/>
                <w:sz w:val="24"/>
                <w:szCs w:val="24"/>
                <w:highlight w:val="none"/>
              </w:rPr>
            </w:pPr>
            <w:r>
              <w:rPr>
                <w:rFonts w:hint="eastAsia" w:cs="Times New Roman"/>
                <w:color w:val="auto"/>
                <w:highlight w:val="none"/>
                <w:lang w:val="en-US" w:eastAsia="zh-CN"/>
              </w:rPr>
              <w:t xml:space="preserve"> </w:t>
            </w:r>
            <w:r>
              <w:rPr>
                <w:rFonts w:hint="default" w:ascii="Times New Roman" w:hAnsi="Times New Roman" w:eastAsia="宋体" w:cs="Times New Roman"/>
                <w:b/>
                <w:bCs/>
                <w:color w:val="auto"/>
                <w:kern w:val="0"/>
                <w:sz w:val="24"/>
                <w:szCs w:val="24"/>
                <w:highlight w:val="none"/>
                <w:lang w:val="en-US" w:eastAsia="zh-CN"/>
              </w:rPr>
              <w:t>②与《阳江市“三线一单”生态环境分区管控方案》相符性分析</w:t>
            </w:r>
          </w:p>
          <w:p w14:paraId="7C6374D5">
            <w:pPr>
              <w:keepNext w:val="0"/>
              <w:keepLines w:val="0"/>
              <w:numPr>
                <w:ilvl w:val="0"/>
                <w:numId w:val="0"/>
              </w:numPr>
              <w:suppressLineNumbers w:val="0"/>
              <w:autoSpaceDE w:val="0"/>
              <w:autoSpaceDN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kern w:val="0"/>
                <w:sz w:val="24"/>
                <w:szCs w:val="24"/>
                <w:highlight w:val="none"/>
                <w:lang w:eastAsia="zh-CN"/>
              </w:rPr>
            </w:pPr>
            <w:r>
              <w:rPr>
                <w:rFonts w:hint="default" w:ascii="Times New Roman" w:hAnsi="Times New Roman" w:eastAsia="宋体" w:cs="Times New Roman"/>
                <w:b w:val="0"/>
                <w:bCs w:val="0"/>
                <w:color w:val="auto"/>
                <w:kern w:val="0"/>
                <w:sz w:val="24"/>
                <w:szCs w:val="24"/>
                <w:highlight w:val="none"/>
              </w:rPr>
              <w:t>根据《广东省人民政府关于印发〈广东省“三线一单”生态环境分区管控方案〉的通知》（粤府〔2020〕71号）、《广东省人民政府关于延长〈广东省“三线一单”生态环境分区管控方案〉有效期的通知》（粤府函〔2025〕248号）、《阳江市人民政府关于印发〈阳江市“三线一单”生态环境分区管控方案〉的通知》（阳府〔2021〕28号）、《〈阳江市“三线一单”生态环境分区管控方案〉更新调整内容清单》（2024年3月8日）、《阳江市人民政府关于延长〈阳江市“三线一单”生态环境分区管控方案〉有效期的通知》（阳府函〔2026〕196号），</w:t>
            </w:r>
            <w:r>
              <w:rPr>
                <w:rFonts w:hint="default" w:ascii="Times New Roman" w:hAnsi="Times New Roman" w:eastAsia="宋体" w:cs="Times New Roman"/>
                <w:b w:val="0"/>
                <w:bCs w:val="0"/>
                <w:color w:val="auto"/>
                <w:kern w:val="0"/>
                <w:sz w:val="24"/>
                <w:szCs w:val="24"/>
                <w:highlight w:val="none"/>
              </w:rPr>
              <w:t>本项目位于北惯镇东莺—那霍村重点管控单元（单元编码：ZH44170420001)，环境要素包括大气环境布局敏感重点管控区、水环境城镇生活污染重点管控区、高污染燃料禁燃区、水环境一般管控区、大气环境优先保护区。本项目与《阳江市“三线一单 ”生态环境分区管控方案》（阳府〔2021〕28号）及《阳江市“三线一单”生态环境分区管控方案》（2024年3月8日）相符性分析见下表</w:t>
            </w:r>
            <w:r>
              <w:rPr>
                <w:rFonts w:hint="default" w:ascii="Times New Roman" w:hAnsi="Times New Roman" w:eastAsia="宋体" w:cs="Times New Roman"/>
                <w:b w:val="0"/>
                <w:bCs w:val="0"/>
                <w:color w:val="auto"/>
                <w:kern w:val="0"/>
                <w:sz w:val="24"/>
                <w:szCs w:val="24"/>
                <w:highlight w:val="none"/>
                <w:lang w:eastAsia="zh-CN"/>
              </w:rPr>
              <w:t>：</w:t>
            </w:r>
          </w:p>
          <w:p w14:paraId="73EDBF9C">
            <w:pPr>
              <w:pStyle w:val="18"/>
              <w:keepNext w:val="0"/>
              <w:keepLines w:val="0"/>
              <w:suppressLineNumbers w:val="0"/>
              <w:spacing w:beforeAutospacing="0" w:afterAutospacing="0"/>
              <w:ind w:left="0"/>
              <w:rPr>
                <w:rFonts w:hint="default" w:ascii="Times New Roman" w:hAnsi="Times New Roman" w:cs="Times New Roman"/>
                <w:color w:val="auto"/>
                <w:highlight w:val="none"/>
                <w:lang w:val="en-US" w:eastAsia="zh-CN"/>
              </w:rPr>
            </w:pPr>
          </w:p>
        </w:tc>
      </w:tr>
    </w:tbl>
    <w:p w14:paraId="79510570">
      <w:pPr>
        <w:spacing w:line="360" w:lineRule="auto"/>
        <w:outlineLvl w:val="0"/>
        <w:rPr>
          <w:rFonts w:hint="default" w:ascii="Times New Roman" w:hAnsi="Times New Roman" w:eastAsia="宋体" w:cs="Times New Roman"/>
          <w:color w:val="auto"/>
          <w:sz w:val="30"/>
          <w:highlight w:val="none"/>
        </w:rPr>
        <w:sectPr>
          <w:footerReference r:id="rId4"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7"/>
        <w:gridCol w:w="8583"/>
      </w:tblGrid>
      <w:tr w14:paraId="4D725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2" w:hRule="atLeast"/>
        </w:trPr>
        <w:tc>
          <w:tcPr>
            <w:tcW w:w="477" w:type="dxa"/>
            <w:noWrap w:val="0"/>
            <w:vAlign w:val="top"/>
          </w:tcPr>
          <w:p w14:paraId="42B94CB8">
            <w:pPr>
              <w:keepNext w:val="0"/>
              <w:keepLines w:val="0"/>
              <w:suppressLineNumbers w:val="0"/>
              <w:spacing w:before="0" w:beforeAutospacing="0" w:after="0" w:afterAutospacing="0"/>
              <w:ind w:left="0" w:right="0"/>
              <w:rPr>
                <w:rFonts w:hint="default" w:ascii="Times New Roman" w:hAnsi="Times New Roman" w:cs="Times New Roman"/>
                <w:color w:val="auto"/>
                <w:highlight w:val="none"/>
                <w:vertAlign w:val="baseline"/>
              </w:rPr>
            </w:pPr>
          </w:p>
        </w:tc>
        <w:tc>
          <w:tcPr>
            <w:tcW w:w="8583" w:type="dxa"/>
            <w:noWrap w:val="0"/>
            <w:vAlign w:val="top"/>
          </w:tcPr>
          <w:p w14:paraId="2D220987">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highlight w:val="none"/>
                <w:lang w:eastAsia="zh-CN"/>
              </w:rPr>
            </w:pPr>
            <w:r>
              <w:rPr>
                <w:rFonts w:hint="default" w:ascii="Times New Roman" w:hAnsi="Times New Roman" w:eastAsia="宋体" w:cs="Times New Roman"/>
                <w:b/>
                <w:bCs/>
                <w:color w:val="auto"/>
                <w:highlight w:val="none"/>
                <w:lang w:eastAsia="zh-CN"/>
              </w:rPr>
              <w:t>表</w:t>
            </w:r>
            <w:r>
              <w:rPr>
                <w:rFonts w:hint="eastAsia" w:ascii="Times New Roman" w:cs="Times New Roman"/>
                <w:b/>
                <w:bCs/>
                <w:color w:val="auto"/>
                <w:highlight w:val="none"/>
                <w:lang w:val="en-US" w:eastAsia="zh-CN"/>
              </w:rPr>
              <w:t>1-</w:t>
            </w:r>
            <w:r>
              <w:rPr>
                <w:rFonts w:hint="eastAsia" w:ascii="Times New Roman" w:eastAsia="宋体" w:cs="Times New Roman"/>
                <w:b/>
                <w:bCs/>
                <w:color w:val="auto"/>
                <w:highlight w:val="none"/>
                <w:lang w:val="en-US" w:eastAsia="zh-CN"/>
              </w:rPr>
              <w:t xml:space="preserve">4 </w:t>
            </w:r>
            <w:r>
              <w:rPr>
                <w:rFonts w:hint="default" w:ascii="Times New Roman" w:hAnsi="Times New Roman" w:eastAsia="宋体" w:cs="Times New Roman"/>
                <w:b/>
                <w:bCs/>
                <w:color w:val="auto"/>
                <w:highlight w:val="none"/>
                <w:lang w:eastAsia="zh-CN"/>
              </w:rPr>
              <w:t>本项目与阳江市“三线一单”生态环境分区管控要求相符性分析</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0"/>
              <w:gridCol w:w="4038"/>
              <w:gridCol w:w="3294"/>
              <w:gridCol w:w="515"/>
            </w:tblGrid>
            <w:tr w14:paraId="11A3A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05" w:type="pct"/>
                  <w:tcBorders>
                    <w:top w:val="single" w:color="auto" w:sz="4" w:space="0"/>
                    <w:left w:val="single" w:color="auto" w:sz="4" w:space="0"/>
                    <w:bottom w:val="single" w:color="auto" w:sz="4" w:space="0"/>
                    <w:right w:val="single" w:color="auto" w:sz="4" w:space="0"/>
                  </w:tcBorders>
                  <w:noWrap w:val="0"/>
                  <w:vAlign w:val="center"/>
                </w:tcPr>
                <w:p w14:paraId="08D292F9">
                  <w:pPr>
                    <w:keepNext w:val="0"/>
                    <w:keepLines w:val="0"/>
                    <w:widowControl w:val="0"/>
                    <w:suppressLineNumbers w:val="0"/>
                    <w:autoSpaceDE w:val="0"/>
                    <w:autoSpaceDN/>
                    <w:adjustRightInd w:val="0"/>
                    <w:snapToGrid w:val="0"/>
                    <w:spacing w:before="0" w:beforeAutospacing="0" w:after="0" w:afterAutospacing="0"/>
                    <w:ind w:left="0" w:right="0" w:firstLine="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lang w:val="en-US" w:eastAsia="zh-CN" w:bidi="ar"/>
                    </w:rPr>
                    <w:t>管控维度</w:t>
                  </w:r>
                </w:p>
              </w:tc>
              <w:tc>
                <w:tcPr>
                  <w:tcW w:w="2415" w:type="pct"/>
                  <w:tcBorders>
                    <w:top w:val="single" w:color="auto" w:sz="4" w:space="0"/>
                    <w:left w:val="nil"/>
                    <w:bottom w:val="single" w:color="auto" w:sz="4" w:space="0"/>
                    <w:right w:val="single" w:color="auto" w:sz="4" w:space="0"/>
                  </w:tcBorders>
                  <w:noWrap w:val="0"/>
                  <w:vAlign w:val="center"/>
                </w:tcPr>
                <w:p w14:paraId="2EB44AB1">
                  <w:pPr>
                    <w:keepNext w:val="0"/>
                    <w:keepLines w:val="0"/>
                    <w:widowControl w:val="0"/>
                    <w:suppressLineNumbers w:val="0"/>
                    <w:autoSpaceDE w:val="0"/>
                    <w:autoSpaceDN/>
                    <w:adjustRightInd w:val="0"/>
                    <w:snapToGrid w:val="0"/>
                    <w:spacing w:before="0" w:beforeAutospacing="0" w:after="0" w:afterAutospacing="0"/>
                    <w:ind w:left="0" w:right="0" w:firstLine="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lang w:val="en-US" w:eastAsia="zh-CN" w:bidi="ar"/>
                    </w:rPr>
                    <w:t>管控要求</w:t>
                  </w:r>
                </w:p>
              </w:tc>
              <w:tc>
                <w:tcPr>
                  <w:tcW w:w="1970" w:type="pct"/>
                  <w:tcBorders>
                    <w:top w:val="single" w:color="auto" w:sz="4" w:space="0"/>
                    <w:left w:val="nil"/>
                    <w:bottom w:val="single" w:color="auto" w:sz="4" w:space="0"/>
                    <w:right w:val="single" w:color="auto" w:sz="4" w:space="0"/>
                  </w:tcBorders>
                  <w:noWrap w:val="0"/>
                  <w:vAlign w:val="center"/>
                </w:tcPr>
                <w:p w14:paraId="4EA0E28C">
                  <w:pPr>
                    <w:keepNext w:val="0"/>
                    <w:keepLines w:val="0"/>
                    <w:widowControl w:val="0"/>
                    <w:suppressLineNumbers w:val="0"/>
                    <w:autoSpaceDE w:val="0"/>
                    <w:autoSpaceDN/>
                    <w:adjustRightInd w:val="0"/>
                    <w:snapToGrid w:val="0"/>
                    <w:spacing w:before="0" w:beforeAutospacing="0" w:after="0" w:afterAutospacing="0"/>
                    <w:ind w:left="0" w:right="0" w:firstLine="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lang w:val="en-US" w:eastAsia="zh-CN" w:bidi="ar"/>
                    </w:rPr>
                    <w:t>项目相符性</w:t>
                  </w:r>
                </w:p>
                <w:p w14:paraId="2A1D21CB">
                  <w:pPr>
                    <w:keepNext w:val="0"/>
                    <w:keepLines w:val="0"/>
                    <w:widowControl w:val="0"/>
                    <w:suppressLineNumbers w:val="0"/>
                    <w:autoSpaceDE w:val="0"/>
                    <w:autoSpaceDN/>
                    <w:adjustRightInd w:val="0"/>
                    <w:snapToGrid w:val="0"/>
                    <w:spacing w:before="0" w:beforeAutospacing="0" w:after="0" w:afterAutospacing="0"/>
                    <w:ind w:left="0" w:right="0" w:firstLine="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lang w:val="en-US" w:eastAsia="zh-CN" w:bidi="ar"/>
                    </w:rPr>
                    <w:t>分析</w:t>
                  </w:r>
                </w:p>
              </w:tc>
              <w:tc>
                <w:tcPr>
                  <w:tcW w:w="308" w:type="pct"/>
                  <w:tcBorders>
                    <w:top w:val="single" w:color="auto" w:sz="4" w:space="0"/>
                    <w:left w:val="nil"/>
                    <w:bottom w:val="single" w:color="auto" w:sz="4" w:space="0"/>
                    <w:right w:val="single" w:color="auto" w:sz="4" w:space="0"/>
                  </w:tcBorders>
                  <w:noWrap w:val="0"/>
                  <w:vAlign w:val="center"/>
                </w:tcPr>
                <w:p w14:paraId="1A8522B5">
                  <w:pPr>
                    <w:keepNext w:val="0"/>
                    <w:keepLines w:val="0"/>
                    <w:widowControl w:val="0"/>
                    <w:suppressLineNumbers w:val="0"/>
                    <w:autoSpaceDE w:val="0"/>
                    <w:autoSpaceDN/>
                    <w:adjustRightInd w:val="0"/>
                    <w:snapToGrid w:val="0"/>
                    <w:spacing w:before="0" w:beforeAutospacing="0" w:after="0" w:afterAutospacing="0"/>
                    <w:ind w:left="0" w:right="0" w:firstLine="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lang w:val="en-US" w:eastAsia="zh-CN" w:bidi="ar"/>
                    </w:rPr>
                    <w:t>相符性</w:t>
                  </w:r>
                </w:p>
              </w:tc>
            </w:tr>
            <w:tr w14:paraId="53C11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05" w:type="pct"/>
                  <w:tcBorders>
                    <w:top w:val="single" w:color="auto" w:sz="4" w:space="0"/>
                    <w:left w:val="single" w:color="auto" w:sz="4" w:space="0"/>
                    <w:bottom w:val="single" w:color="auto" w:sz="4" w:space="0"/>
                    <w:right w:val="single" w:color="auto" w:sz="4" w:space="0"/>
                  </w:tcBorders>
                  <w:noWrap w:val="0"/>
                  <w:vAlign w:val="center"/>
                </w:tcPr>
                <w:p w14:paraId="160E9839">
                  <w:pPr>
                    <w:keepNext w:val="0"/>
                    <w:keepLines w:val="0"/>
                    <w:widowControl w:val="0"/>
                    <w:suppressLineNumbers w:val="0"/>
                    <w:autoSpaceDE w:val="0"/>
                    <w:autoSpaceDN/>
                    <w:adjustRightInd w:val="0"/>
                    <w:snapToGrid w:val="0"/>
                    <w:spacing w:before="0" w:beforeAutospacing="0" w:after="0" w:afterAutospacing="0"/>
                    <w:ind w:left="0" w:right="0" w:firstLine="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区域布局管控</w:t>
                  </w:r>
                </w:p>
              </w:tc>
              <w:tc>
                <w:tcPr>
                  <w:tcW w:w="2415" w:type="pct"/>
                  <w:tcBorders>
                    <w:top w:val="single" w:color="auto" w:sz="4" w:space="0"/>
                    <w:left w:val="nil"/>
                    <w:bottom w:val="single" w:color="auto" w:sz="4" w:space="0"/>
                    <w:right w:val="single" w:color="auto" w:sz="4" w:space="0"/>
                  </w:tcBorders>
                  <w:noWrap w:val="0"/>
                  <w:vAlign w:val="center"/>
                </w:tcPr>
                <w:p w14:paraId="495101F2">
                  <w:pPr>
                    <w:keepNext w:val="0"/>
                    <w:keepLines w:val="0"/>
                    <w:widowControl w:val="0"/>
                    <w:suppressLineNumbers w:val="0"/>
                    <w:autoSpaceDE w:val="0"/>
                    <w:autoSpaceDN/>
                    <w:adjustRightInd w:val="0"/>
                    <w:snapToGrid w:val="0"/>
                    <w:spacing w:before="0" w:beforeAutospacing="0" w:after="0" w:afterAutospacing="0"/>
                    <w:ind w:left="0" w:right="0" w:firstLine="0"/>
                    <w:jc w:val="both"/>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1-1.【产业/禁止类】禁止引进国家《产业结构调整指导目录》中限制类、淘汰类项目和《市场准入负面清单》禁止准入类项目。</w:t>
                  </w:r>
                </w:p>
                <w:p w14:paraId="5891DD90">
                  <w:pPr>
                    <w:keepNext w:val="0"/>
                    <w:keepLines w:val="0"/>
                    <w:widowControl w:val="0"/>
                    <w:suppressLineNumbers w:val="0"/>
                    <w:autoSpaceDE w:val="0"/>
                    <w:autoSpaceDN/>
                    <w:adjustRightInd w:val="0"/>
                    <w:snapToGrid w:val="0"/>
                    <w:spacing w:before="0" w:beforeAutospacing="0" w:after="0" w:afterAutospacing="0"/>
                    <w:ind w:left="0" w:right="0" w:firstLine="0"/>
                    <w:jc w:val="both"/>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1-2.【产业/鼓励引导类】引导新建项目 向产业园区和规划产业片区入园集中发展。</w:t>
                  </w:r>
                </w:p>
                <w:p w14:paraId="734C3913">
                  <w:pPr>
                    <w:keepNext w:val="0"/>
                    <w:keepLines w:val="0"/>
                    <w:widowControl w:val="0"/>
                    <w:suppressLineNumbers w:val="0"/>
                    <w:autoSpaceDE w:val="0"/>
                    <w:autoSpaceDN/>
                    <w:adjustRightInd w:val="0"/>
                    <w:snapToGrid w:val="0"/>
                    <w:spacing w:before="0" w:beforeAutospacing="0" w:after="0" w:afterAutospacing="0"/>
                    <w:ind w:left="0" w:right="0" w:firstLine="0"/>
                    <w:jc w:val="both"/>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1-3.【大气/禁止类】东岸岭大气一类功能区内，禁止新建、扩建大气污染物排放工业项目（国家和省规定不纳入环评管理的项目除外）。</w:t>
                  </w:r>
                </w:p>
                <w:p w14:paraId="481500E5">
                  <w:pPr>
                    <w:keepNext w:val="0"/>
                    <w:keepLines w:val="0"/>
                    <w:widowControl w:val="0"/>
                    <w:suppressLineNumbers w:val="0"/>
                    <w:autoSpaceDE w:val="0"/>
                    <w:autoSpaceDN/>
                    <w:adjustRightInd w:val="0"/>
                    <w:snapToGrid w:val="0"/>
                    <w:spacing w:before="0" w:beforeAutospacing="0" w:after="0" w:afterAutospacing="0"/>
                    <w:ind w:left="0" w:right="0" w:firstLine="0"/>
                    <w:jc w:val="both"/>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1-4.【大气/综合类】东莺村与那霍村局部区域属于大气环境布局敏感重点管控区，严格限制新建、扩建生产和使用高挥发性有机物（VOCs）原辅材料项目，优先开展低挥发性有机物（VOCs）含量原辅材料替代，强化无组织排放控制。</w:t>
                  </w:r>
                </w:p>
                <w:p w14:paraId="47B7B9F3">
                  <w:pPr>
                    <w:keepNext w:val="0"/>
                    <w:keepLines w:val="0"/>
                    <w:widowControl w:val="0"/>
                    <w:suppressLineNumbers w:val="0"/>
                    <w:autoSpaceDE w:val="0"/>
                    <w:autoSpaceDN/>
                    <w:adjustRightInd w:val="0"/>
                    <w:snapToGrid w:val="0"/>
                    <w:spacing w:before="0" w:beforeAutospacing="0" w:after="0" w:afterAutospacing="0"/>
                    <w:ind w:left="0" w:right="0" w:firstLine="0"/>
                    <w:jc w:val="both"/>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1-5.【水/限制类】水环境质量超标类重点管控区内新建、改建、扩建项目应实施重点水污染物减量替代。</w:t>
                  </w:r>
                </w:p>
              </w:tc>
              <w:tc>
                <w:tcPr>
                  <w:tcW w:w="1970" w:type="pct"/>
                  <w:tcBorders>
                    <w:top w:val="single" w:color="auto" w:sz="4" w:space="0"/>
                    <w:left w:val="nil"/>
                    <w:bottom w:val="single" w:color="auto" w:sz="4" w:space="0"/>
                    <w:right w:val="single" w:color="auto" w:sz="4" w:space="0"/>
                  </w:tcBorders>
                  <w:noWrap w:val="0"/>
                  <w:vAlign w:val="center"/>
                </w:tcPr>
                <w:p w14:paraId="60732CFB">
                  <w:pPr>
                    <w:keepNext w:val="0"/>
                    <w:keepLines w:val="0"/>
                    <w:widowControl w:val="0"/>
                    <w:suppressLineNumbers w:val="0"/>
                    <w:autoSpaceDE w:val="0"/>
                    <w:autoSpaceDN/>
                    <w:adjustRightInd w:val="0"/>
                    <w:snapToGrid w:val="0"/>
                    <w:spacing w:before="0" w:beforeAutospacing="0" w:after="0" w:afterAutospacing="0"/>
                    <w:ind w:left="0" w:right="0" w:firstLine="0"/>
                    <w:jc w:val="both"/>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1</w:t>
                  </w:r>
                  <w:r>
                    <w:rPr>
                      <w:rFonts w:hint="eastAsia" w:cs="Times New Roman"/>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本项目属于C2231纸和纸板容器制造、C2319包装装潢及其他印刷，本项目的建设内容不属于《市场准入负面清单（2025年版）》中的禁止准入类、许可准入类项目，属于可依法平等进入项目，符合国家现行产业政策</w:t>
                  </w:r>
                  <w:r>
                    <w:rPr>
                      <w:rFonts w:hint="eastAsia" w:cs="Times New Roman"/>
                      <w:color w:val="auto"/>
                      <w:kern w:val="2"/>
                      <w:sz w:val="21"/>
                      <w:szCs w:val="21"/>
                      <w:highlight w:val="none"/>
                      <w:lang w:val="en-US" w:eastAsia="zh-CN" w:bidi="ar"/>
                    </w:rPr>
                    <w:t>；</w:t>
                  </w:r>
                </w:p>
                <w:p w14:paraId="69973C52">
                  <w:pPr>
                    <w:keepNext w:val="0"/>
                    <w:keepLines w:val="0"/>
                    <w:widowControl w:val="0"/>
                    <w:suppressLineNumbers w:val="0"/>
                    <w:autoSpaceDE w:val="0"/>
                    <w:autoSpaceDN/>
                    <w:adjustRightInd w:val="0"/>
                    <w:snapToGrid w:val="0"/>
                    <w:spacing w:before="0" w:beforeAutospacing="0" w:after="0" w:afterAutospacing="0"/>
                    <w:ind w:left="0" w:right="0" w:firstLine="0"/>
                    <w:jc w:val="both"/>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2</w:t>
                  </w:r>
                  <w:r>
                    <w:rPr>
                      <w:rFonts w:hint="eastAsia" w:cs="Times New Roman"/>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项目位于阳江市阳东区北惯镇金田六路西边及霍达七路南边BN-01-12a，纳入广东阳东经济开发区范围</w:t>
                  </w:r>
                  <w:r>
                    <w:rPr>
                      <w:rFonts w:hint="eastAsia" w:cs="Times New Roman"/>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符合新建项目向产业园区集中发展要求。</w:t>
                  </w:r>
                </w:p>
                <w:p w14:paraId="2D6B469F">
                  <w:pPr>
                    <w:keepNext w:val="0"/>
                    <w:keepLines w:val="0"/>
                    <w:widowControl w:val="0"/>
                    <w:suppressLineNumbers w:val="0"/>
                    <w:autoSpaceDE w:val="0"/>
                    <w:autoSpaceDN/>
                    <w:adjustRightInd w:val="0"/>
                    <w:snapToGrid w:val="0"/>
                    <w:spacing w:before="0" w:beforeAutospacing="0" w:after="0" w:afterAutospacing="0"/>
                    <w:ind w:left="0" w:right="0" w:firstLine="0"/>
                    <w:jc w:val="both"/>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3</w:t>
                  </w:r>
                  <w:r>
                    <w:rPr>
                      <w:rFonts w:hint="eastAsia" w:cs="Times New Roman"/>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根据阳江市大气环境功能分区图，本项目所在区域属于二类大气环境质量功能区，不在东岸岭大气一类功能区内。</w:t>
                  </w:r>
                </w:p>
                <w:p w14:paraId="13D07E81">
                  <w:pPr>
                    <w:keepNext w:val="0"/>
                    <w:keepLines w:val="0"/>
                    <w:widowControl w:val="0"/>
                    <w:suppressLineNumbers w:val="0"/>
                    <w:autoSpaceDE w:val="0"/>
                    <w:autoSpaceDN/>
                    <w:adjustRightInd w:val="0"/>
                    <w:snapToGrid w:val="0"/>
                    <w:spacing w:before="0" w:beforeAutospacing="0" w:after="0" w:afterAutospacing="0"/>
                    <w:ind w:left="0" w:right="0" w:firstLine="0"/>
                    <w:jc w:val="both"/>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4</w:t>
                  </w:r>
                  <w:r>
                    <w:rPr>
                      <w:rFonts w:hint="eastAsia" w:cs="Times New Roman"/>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本项目使用的</w:t>
                  </w:r>
                  <w:r>
                    <w:rPr>
                      <w:rFonts w:hint="eastAsia" w:cs="Times New Roman"/>
                      <w:color w:val="auto"/>
                      <w:kern w:val="2"/>
                      <w:sz w:val="21"/>
                      <w:szCs w:val="21"/>
                      <w:highlight w:val="none"/>
                      <w:lang w:val="en-US" w:eastAsia="zh-CN" w:bidi="ar"/>
                    </w:rPr>
                    <w:t>大豆</w:t>
                  </w:r>
                  <w:r>
                    <w:rPr>
                      <w:rFonts w:hint="default" w:ascii="Times New Roman" w:hAnsi="Times New Roman" w:eastAsia="宋体" w:cs="Times New Roman"/>
                      <w:color w:val="auto"/>
                      <w:kern w:val="2"/>
                      <w:sz w:val="21"/>
                      <w:szCs w:val="21"/>
                      <w:highlight w:val="none"/>
                      <w:lang w:val="en-US" w:eastAsia="zh-CN" w:bidi="ar"/>
                    </w:rPr>
                    <w:t>油墨、清洗剂等原辅材料均符合国家产品VOCs含量限值标准，不属于高VOCs原辅材料</w:t>
                  </w:r>
                  <w:r>
                    <w:rPr>
                      <w:rFonts w:hint="eastAsia" w:cs="Times New Roman"/>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项目采用低挥发性有机物（VOCs）含量原辅材料，对产生的有机废气进行收集，采用“两级活性炭”吸附装置处理后，经排气筒高空排放，强化无组织排放控制。</w:t>
                  </w:r>
                </w:p>
                <w:p w14:paraId="2CAA3F3F">
                  <w:pPr>
                    <w:keepNext w:val="0"/>
                    <w:keepLines w:val="0"/>
                    <w:widowControl w:val="0"/>
                    <w:suppressLineNumbers w:val="0"/>
                    <w:autoSpaceDE w:val="0"/>
                    <w:autoSpaceDN/>
                    <w:adjustRightInd w:val="0"/>
                    <w:snapToGrid w:val="0"/>
                    <w:spacing w:before="0" w:beforeAutospacing="0" w:after="0" w:afterAutospacing="0"/>
                    <w:ind w:left="0" w:right="0" w:firstLine="0"/>
                    <w:jc w:val="both"/>
                    <w:rPr>
                      <w:rFonts w:hint="default" w:ascii="Times New Roman" w:hAnsi="Times New Roman" w:eastAsia="宋体" w:cs="Times New Roman"/>
                      <w:color w:val="auto"/>
                      <w:kern w:val="2"/>
                      <w:sz w:val="21"/>
                      <w:szCs w:val="21"/>
                      <w:highlight w:val="none"/>
                    </w:rPr>
                  </w:pPr>
                  <w:r>
                    <w:rPr>
                      <w:rFonts w:hint="eastAsia" w:cs="Times New Roman"/>
                      <w:color w:val="auto"/>
                      <w:kern w:val="2"/>
                      <w:sz w:val="21"/>
                      <w:szCs w:val="21"/>
                      <w:highlight w:val="none"/>
                      <w:lang w:val="en-US" w:eastAsia="zh-CN" w:bidi="ar"/>
                    </w:rPr>
                    <w:t>5、</w:t>
                  </w:r>
                  <w:r>
                    <w:rPr>
                      <w:rFonts w:hint="default" w:ascii="Times New Roman" w:hAnsi="Times New Roman" w:eastAsia="宋体" w:cs="Times New Roman"/>
                      <w:color w:val="auto"/>
                      <w:kern w:val="2"/>
                      <w:sz w:val="21"/>
                      <w:szCs w:val="21"/>
                      <w:highlight w:val="none"/>
                      <w:lang w:val="en-US" w:eastAsia="zh-CN" w:bidi="ar"/>
                    </w:rPr>
                    <w:t>根据</w:t>
                  </w:r>
                  <w:r>
                    <w:rPr>
                      <w:rFonts w:hint="eastAsia" w:cs="Times New Roman"/>
                      <w:color w:val="auto"/>
                      <w:kern w:val="2"/>
                      <w:sz w:val="21"/>
                      <w:szCs w:val="21"/>
                      <w:highlight w:val="none"/>
                      <w:lang w:val="en-US" w:eastAsia="zh-CN" w:bidi="ar"/>
                    </w:rPr>
                    <w:t>下文</w:t>
                  </w:r>
                  <w:r>
                    <w:rPr>
                      <w:rFonts w:hint="default" w:ascii="Times New Roman" w:hAnsi="Times New Roman" w:eastAsia="宋体" w:cs="Times New Roman"/>
                      <w:color w:val="auto"/>
                      <w:kern w:val="2"/>
                      <w:sz w:val="21"/>
                      <w:szCs w:val="21"/>
                      <w:highlight w:val="none"/>
                      <w:lang w:val="en-US" w:eastAsia="zh-CN" w:bidi="ar"/>
                    </w:rPr>
                    <w:t>《2024年阳江市生态环境质量状况公报》，项目纳污水体那龙河尖山国考断面水质达标，所在区域不属于“水环境质量超标类重点管控区”，故本项目不适用该条款。此外，本项目生活污水经预处理后排入阳东经济开发区污水处理厂进行深度处理，废水污染物总量指标已在污水处理厂总量控制指标中统筹协调分配（见报告“总量控制指标”章节），已实现水污染物排放的有效削减，符合“减量替代”的总体要求。</w:t>
                  </w:r>
                </w:p>
              </w:tc>
              <w:tc>
                <w:tcPr>
                  <w:tcW w:w="308" w:type="pct"/>
                  <w:tcBorders>
                    <w:top w:val="single" w:color="auto" w:sz="4" w:space="0"/>
                    <w:left w:val="nil"/>
                    <w:bottom w:val="single" w:color="auto" w:sz="4" w:space="0"/>
                    <w:right w:val="single" w:color="auto" w:sz="4" w:space="0"/>
                  </w:tcBorders>
                  <w:noWrap w:val="0"/>
                  <w:vAlign w:val="center"/>
                </w:tcPr>
                <w:p w14:paraId="7FFF18EC">
                  <w:pPr>
                    <w:keepNext w:val="0"/>
                    <w:keepLines w:val="0"/>
                    <w:widowControl w:val="0"/>
                    <w:suppressLineNumbers w:val="0"/>
                    <w:autoSpaceDE w:val="0"/>
                    <w:autoSpaceDN/>
                    <w:adjustRightInd w:val="0"/>
                    <w:snapToGrid w:val="0"/>
                    <w:spacing w:before="0" w:beforeAutospacing="0" w:after="0" w:afterAutospacing="0"/>
                    <w:ind w:left="0" w:right="0" w:firstLine="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符合</w:t>
                  </w:r>
                </w:p>
              </w:tc>
            </w:tr>
            <w:tr w14:paraId="3DCAE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05" w:type="pct"/>
                  <w:tcBorders>
                    <w:top w:val="single" w:color="auto" w:sz="4" w:space="0"/>
                    <w:left w:val="single" w:color="auto" w:sz="4" w:space="0"/>
                    <w:bottom w:val="single" w:color="auto" w:sz="4" w:space="0"/>
                    <w:right w:val="single" w:color="auto" w:sz="4" w:space="0"/>
                  </w:tcBorders>
                  <w:noWrap w:val="0"/>
                  <w:vAlign w:val="center"/>
                </w:tcPr>
                <w:p w14:paraId="17052091">
                  <w:pPr>
                    <w:keepNext w:val="0"/>
                    <w:keepLines w:val="0"/>
                    <w:widowControl w:val="0"/>
                    <w:suppressLineNumbers w:val="0"/>
                    <w:autoSpaceDE w:val="0"/>
                    <w:autoSpaceDN/>
                    <w:adjustRightInd w:val="0"/>
                    <w:snapToGrid w:val="0"/>
                    <w:spacing w:before="0" w:beforeAutospacing="0" w:after="0" w:afterAutospacing="0"/>
                    <w:ind w:left="0" w:right="0" w:firstLine="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能源资源利用</w:t>
                  </w:r>
                </w:p>
              </w:tc>
              <w:tc>
                <w:tcPr>
                  <w:tcW w:w="2415" w:type="pct"/>
                  <w:tcBorders>
                    <w:top w:val="single" w:color="auto" w:sz="4" w:space="0"/>
                    <w:left w:val="nil"/>
                    <w:bottom w:val="single" w:color="auto" w:sz="4" w:space="0"/>
                    <w:right w:val="single" w:color="auto" w:sz="4" w:space="0"/>
                  </w:tcBorders>
                  <w:noWrap w:val="0"/>
                  <w:vAlign w:val="center"/>
                </w:tcPr>
                <w:p w14:paraId="445758E1">
                  <w:pPr>
                    <w:keepNext w:val="0"/>
                    <w:keepLines w:val="0"/>
                    <w:widowControl w:val="0"/>
                    <w:suppressLineNumbers w:val="0"/>
                    <w:autoSpaceDE w:val="0"/>
                    <w:autoSpaceDN/>
                    <w:adjustRightInd w:val="0"/>
                    <w:snapToGrid w:val="0"/>
                    <w:spacing w:before="0" w:beforeAutospacing="0" w:after="0" w:afterAutospacing="0"/>
                    <w:ind w:left="0" w:right="0" w:firstLine="0"/>
                    <w:jc w:val="both"/>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2-1.【能源/禁止类】高污染燃料禁燃区按照《高污染燃料目录》III 类（严格） 的要求执行；禁止新、扩建燃用高污染燃料的设施，已建成的高污染燃料设施应当改用天然气、页岩气、液化石油气、电等清洁能源。</w:t>
                  </w:r>
                </w:p>
                <w:p w14:paraId="697BE785">
                  <w:pPr>
                    <w:keepNext w:val="0"/>
                    <w:keepLines w:val="0"/>
                    <w:widowControl w:val="0"/>
                    <w:suppressLineNumbers w:val="0"/>
                    <w:autoSpaceDE w:val="0"/>
                    <w:autoSpaceDN/>
                    <w:adjustRightInd w:val="0"/>
                    <w:snapToGrid w:val="0"/>
                    <w:spacing w:before="0" w:beforeAutospacing="0" w:after="0" w:afterAutospacing="0"/>
                    <w:ind w:left="0" w:right="0" w:firstLine="0"/>
                    <w:jc w:val="both"/>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2-2.【土地资源/限制类】完成单位土地面积投资强度、土地利用强度等建设用地控制性指标要求，提升土地等资源的集约程度。</w:t>
                  </w:r>
                </w:p>
              </w:tc>
              <w:tc>
                <w:tcPr>
                  <w:tcW w:w="1970" w:type="pct"/>
                  <w:tcBorders>
                    <w:top w:val="single" w:color="auto" w:sz="4" w:space="0"/>
                    <w:left w:val="nil"/>
                    <w:bottom w:val="single" w:color="auto" w:sz="4" w:space="0"/>
                    <w:right w:val="single" w:color="auto" w:sz="4" w:space="0"/>
                  </w:tcBorders>
                  <w:noWrap w:val="0"/>
                  <w:vAlign w:val="center"/>
                </w:tcPr>
                <w:p w14:paraId="2CA97342">
                  <w:pPr>
                    <w:keepNext w:val="0"/>
                    <w:keepLines w:val="0"/>
                    <w:widowControl w:val="0"/>
                    <w:suppressLineNumbers w:val="0"/>
                    <w:autoSpaceDE w:val="0"/>
                    <w:autoSpaceDN/>
                    <w:adjustRightInd w:val="0"/>
                    <w:snapToGrid w:val="0"/>
                    <w:spacing w:before="0" w:beforeAutospacing="0" w:after="0" w:afterAutospacing="0"/>
                    <w:ind w:left="0" w:right="0" w:firstLine="0"/>
                    <w:jc w:val="both"/>
                    <w:rPr>
                      <w:rFonts w:hint="eastAsia" w:cs="Times New Roman"/>
                      <w:color w:val="auto"/>
                      <w:kern w:val="2"/>
                      <w:sz w:val="21"/>
                      <w:szCs w:val="21"/>
                      <w:highlight w:val="none"/>
                      <w:lang w:val="en-US" w:eastAsia="zh-CN" w:bidi="ar"/>
                    </w:rPr>
                  </w:pPr>
                  <w:r>
                    <w:rPr>
                      <w:rFonts w:hint="eastAsia" w:cs="Times New Roman"/>
                      <w:color w:val="auto"/>
                      <w:kern w:val="2"/>
                      <w:sz w:val="21"/>
                      <w:szCs w:val="21"/>
                      <w:highlight w:val="none"/>
                      <w:lang w:val="en-US" w:eastAsia="zh-CN" w:bidi="ar"/>
                    </w:rPr>
                    <w:t>1.本项目运营期间所用能源仅为电能，不涉及《高污染燃料目录》Ⅲ类（严格）中规定的煤炭及其制品、石油焦、油页岩等高污染燃料，也不新、扩建任何燃用高污染燃料的设施。项目生产均使用清洁的电能，并严格按照禁燃区管控要求执行；</w:t>
                  </w:r>
                </w:p>
                <w:p w14:paraId="0F57ED1B">
                  <w:pPr>
                    <w:keepNext w:val="0"/>
                    <w:keepLines w:val="0"/>
                    <w:widowControl w:val="0"/>
                    <w:suppressLineNumbers w:val="0"/>
                    <w:autoSpaceDE w:val="0"/>
                    <w:autoSpaceDN/>
                    <w:adjustRightInd w:val="0"/>
                    <w:snapToGrid w:val="0"/>
                    <w:spacing w:before="0" w:beforeAutospacing="0" w:after="0" w:afterAutospacing="0"/>
                    <w:ind w:left="0" w:right="0" w:firstLine="0"/>
                    <w:jc w:val="both"/>
                    <w:rPr>
                      <w:rFonts w:hint="default" w:cs="Times New Roman"/>
                      <w:color w:val="auto"/>
                      <w:kern w:val="2"/>
                      <w:sz w:val="21"/>
                      <w:szCs w:val="21"/>
                      <w:highlight w:val="none"/>
                      <w:lang w:val="en-US" w:eastAsia="zh-CN" w:bidi="ar"/>
                    </w:rPr>
                  </w:pPr>
                  <w:r>
                    <w:rPr>
                      <w:rFonts w:hint="eastAsia" w:cs="Times New Roman"/>
                      <w:color w:val="auto"/>
                      <w:kern w:val="2"/>
                      <w:sz w:val="21"/>
                      <w:szCs w:val="21"/>
                      <w:highlight w:val="none"/>
                      <w:lang w:val="en-US" w:eastAsia="zh-CN" w:bidi="ar"/>
                    </w:rPr>
                    <w:t>2.本项目土地用途为工业用地，符合土地利用总体规划。项目总投资150万元，用地面积1000平方米，计算所得单位土地面积投资强度约为100万元/亩。这一水平已满足阳东经济开发区对工业用地投资强度的相关控制指标要求；项目建筑面积2000平方米，容积率达到2.0，体现了较高的土地利用强度。厂区功能分区明确，布局合理，有效提升了土地资源的集约利用水平。因此，本项目建设符合土地资源集约利用的相关要求。</w:t>
                  </w:r>
                </w:p>
              </w:tc>
              <w:tc>
                <w:tcPr>
                  <w:tcW w:w="308" w:type="pct"/>
                  <w:tcBorders>
                    <w:top w:val="single" w:color="auto" w:sz="4" w:space="0"/>
                    <w:left w:val="nil"/>
                    <w:bottom w:val="single" w:color="auto" w:sz="4" w:space="0"/>
                    <w:right w:val="single" w:color="auto" w:sz="4" w:space="0"/>
                  </w:tcBorders>
                  <w:noWrap w:val="0"/>
                  <w:vAlign w:val="center"/>
                </w:tcPr>
                <w:p w14:paraId="26ED9D86">
                  <w:pPr>
                    <w:keepNext w:val="0"/>
                    <w:keepLines w:val="0"/>
                    <w:widowControl w:val="0"/>
                    <w:suppressLineNumbers w:val="0"/>
                    <w:autoSpaceDE w:val="0"/>
                    <w:autoSpaceDN/>
                    <w:adjustRightInd w:val="0"/>
                    <w:snapToGrid w:val="0"/>
                    <w:spacing w:before="0" w:beforeAutospacing="0" w:after="0" w:afterAutospacing="0"/>
                    <w:ind w:left="0" w:right="0" w:firstLine="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符合</w:t>
                  </w:r>
                </w:p>
              </w:tc>
            </w:tr>
            <w:tr w14:paraId="4BD7E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05" w:type="pct"/>
                  <w:tcBorders>
                    <w:top w:val="single" w:color="auto" w:sz="4" w:space="0"/>
                    <w:left w:val="single" w:color="auto" w:sz="4" w:space="0"/>
                    <w:bottom w:val="single" w:color="auto" w:sz="4" w:space="0"/>
                    <w:right w:val="single" w:color="auto" w:sz="4" w:space="0"/>
                  </w:tcBorders>
                  <w:noWrap w:val="0"/>
                  <w:vAlign w:val="center"/>
                </w:tcPr>
                <w:p w14:paraId="4DB5285E">
                  <w:pPr>
                    <w:keepNext w:val="0"/>
                    <w:keepLines w:val="0"/>
                    <w:widowControl w:val="0"/>
                    <w:suppressLineNumbers w:val="0"/>
                    <w:autoSpaceDE w:val="0"/>
                    <w:autoSpaceDN/>
                    <w:adjustRightInd w:val="0"/>
                    <w:snapToGrid w:val="0"/>
                    <w:spacing w:before="0" w:beforeAutospacing="0" w:after="0" w:afterAutospacing="0"/>
                    <w:ind w:left="0" w:right="0" w:firstLine="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污染物排放管控</w:t>
                  </w:r>
                </w:p>
              </w:tc>
              <w:tc>
                <w:tcPr>
                  <w:tcW w:w="2415" w:type="pct"/>
                  <w:tcBorders>
                    <w:top w:val="single" w:color="auto" w:sz="4" w:space="0"/>
                    <w:left w:val="nil"/>
                    <w:bottom w:val="single" w:color="auto" w:sz="4" w:space="0"/>
                    <w:right w:val="single" w:color="auto" w:sz="4" w:space="0"/>
                  </w:tcBorders>
                  <w:noWrap w:val="0"/>
                  <w:vAlign w:val="center"/>
                </w:tcPr>
                <w:p w14:paraId="451ADC47">
                  <w:pPr>
                    <w:keepNext w:val="0"/>
                    <w:keepLines w:val="0"/>
                    <w:widowControl w:val="0"/>
                    <w:suppressLineNumbers w:val="0"/>
                    <w:autoSpaceDE w:val="0"/>
                    <w:autoSpaceDN/>
                    <w:adjustRightInd w:val="0"/>
                    <w:snapToGrid w:val="0"/>
                    <w:spacing w:before="0" w:beforeAutospacing="0" w:after="0" w:afterAutospacing="0"/>
                    <w:ind w:left="0" w:right="0" w:firstLine="0"/>
                    <w:jc w:val="both"/>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3-1.【水/综合类】加快实现城镇生活污水管网全覆盖、全收集，加快生活污水管网建设、竣工验收及联通，强化管网混错漏接改造及修复更新。</w:t>
                  </w:r>
                </w:p>
                <w:p w14:paraId="312C976E">
                  <w:pPr>
                    <w:keepNext w:val="0"/>
                    <w:keepLines w:val="0"/>
                    <w:widowControl w:val="0"/>
                    <w:suppressLineNumbers w:val="0"/>
                    <w:autoSpaceDE w:val="0"/>
                    <w:autoSpaceDN/>
                    <w:adjustRightInd w:val="0"/>
                    <w:snapToGrid w:val="0"/>
                    <w:spacing w:before="0" w:beforeAutospacing="0" w:after="0" w:afterAutospacing="0"/>
                    <w:ind w:left="0" w:right="0" w:firstLine="0"/>
                    <w:jc w:val="both"/>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3-2.【水/综合类】加快农村生活污水处理设施建设，因地制直选择合适的污水处理设施，实现雨污分流、污水排放管道收集或暗渠化，农村生活污水处理设施出水标准执行广东省《农村生活污水处理排放标准》I(DB44/2208）。</w:t>
                  </w:r>
                </w:p>
                <w:p w14:paraId="053C298E">
                  <w:pPr>
                    <w:keepNext w:val="0"/>
                    <w:keepLines w:val="0"/>
                    <w:widowControl w:val="0"/>
                    <w:suppressLineNumbers w:val="0"/>
                    <w:autoSpaceDE w:val="0"/>
                    <w:autoSpaceDN/>
                    <w:adjustRightInd w:val="0"/>
                    <w:snapToGrid w:val="0"/>
                    <w:spacing w:before="0" w:beforeAutospacing="0" w:after="0" w:afterAutospacing="0"/>
                    <w:ind w:left="0" w:right="0" w:firstLine="0"/>
                    <w:jc w:val="both"/>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 xml:space="preserve">3-3.【大气/综合类】严格落实国 家 产 品 挥 发 性 有 机 物（VOCs）含量限值标准，现有生产项目鼓励优先使用低挥发性有机物（VOCs）含量原辅料，强化工艺废气的收集处理措施，减少无组织排放。 </w:t>
                  </w:r>
                </w:p>
                <w:p w14:paraId="595489CD">
                  <w:pPr>
                    <w:keepNext w:val="0"/>
                    <w:keepLines w:val="0"/>
                    <w:widowControl w:val="0"/>
                    <w:suppressLineNumbers w:val="0"/>
                    <w:autoSpaceDE w:val="0"/>
                    <w:autoSpaceDN/>
                    <w:adjustRightInd w:val="0"/>
                    <w:snapToGrid w:val="0"/>
                    <w:spacing w:before="0" w:beforeAutospacing="0" w:after="0" w:afterAutospacing="0"/>
                    <w:ind w:left="0" w:right="0" w:firstLine="0"/>
                    <w:jc w:val="both"/>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3-4.【其他/综合类】强化重点排污单位污染排放管控，重点排污单位严格执行国家有关规定和监测规范，保证监测设备正常运行并依法公开排放信息。</w:t>
                  </w:r>
                </w:p>
              </w:tc>
              <w:tc>
                <w:tcPr>
                  <w:tcW w:w="1970" w:type="pct"/>
                  <w:tcBorders>
                    <w:top w:val="single" w:color="auto" w:sz="4" w:space="0"/>
                    <w:left w:val="nil"/>
                    <w:bottom w:val="single" w:color="auto" w:sz="4" w:space="0"/>
                    <w:right w:val="single" w:color="auto" w:sz="4" w:space="0"/>
                  </w:tcBorders>
                  <w:noWrap w:val="0"/>
                  <w:vAlign w:val="center"/>
                </w:tcPr>
                <w:p w14:paraId="6515ED7B">
                  <w:pPr>
                    <w:pStyle w:val="28"/>
                    <w:keepNext w:val="0"/>
                    <w:keepLines w:val="0"/>
                    <w:widowControl/>
                    <w:suppressLineNumbers w:val="0"/>
                    <w:adjustRightInd w:val="0"/>
                    <w:snapToGrid w:val="0"/>
                    <w:spacing w:before="0" w:beforeAutospacing="0" w:after="0" w:afterAutospacing="0" w:line="240" w:lineRule="auto"/>
                    <w:ind w:left="0" w:leftChars="0" w:right="0" w:firstLine="0" w:firstLineChars="0"/>
                    <w:jc w:val="both"/>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1</w:t>
                  </w:r>
                  <w:r>
                    <w:rPr>
                      <w:rFonts w:hint="eastAsia" w:ascii="Times New Roman" w:hAnsi="Times New Roman" w:cs="Times New Roman"/>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项目所在区域污水管网已覆盖，生活污水经化粪池处理后经污水管网引至阳东经济开发区污水处理厂处理。</w:t>
                  </w:r>
                </w:p>
                <w:p w14:paraId="2249C4A8">
                  <w:pPr>
                    <w:pStyle w:val="28"/>
                    <w:keepNext w:val="0"/>
                    <w:keepLines w:val="0"/>
                    <w:widowControl/>
                    <w:suppressLineNumbers w:val="0"/>
                    <w:adjustRightInd w:val="0"/>
                    <w:snapToGrid w:val="0"/>
                    <w:spacing w:before="0" w:beforeAutospacing="0" w:after="0" w:afterAutospacing="0" w:line="240" w:lineRule="auto"/>
                    <w:ind w:left="0" w:leftChars="0" w:right="0" w:firstLine="0" w:firstLineChars="0"/>
                    <w:jc w:val="both"/>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2</w:t>
                  </w:r>
                  <w:r>
                    <w:rPr>
                      <w:rFonts w:hint="eastAsia" w:ascii="Times New Roman" w:hAnsi="Times New Roman" w:cs="Times New Roman"/>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本项目不属于农村生活污水处理设施建设项目。</w:t>
                  </w:r>
                </w:p>
                <w:p w14:paraId="00C6588A">
                  <w:pPr>
                    <w:pStyle w:val="28"/>
                    <w:keepNext w:val="0"/>
                    <w:keepLines w:val="0"/>
                    <w:widowControl/>
                    <w:suppressLineNumbers w:val="0"/>
                    <w:adjustRightInd w:val="0"/>
                    <w:snapToGrid w:val="0"/>
                    <w:spacing w:before="0" w:beforeAutospacing="0" w:after="0" w:afterAutospacing="0" w:line="240" w:lineRule="auto"/>
                    <w:ind w:left="0" w:leftChars="0" w:right="0" w:firstLine="0" w:firstLineChars="0"/>
                    <w:jc w:val="both"/>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3</w:t>
                  </w:r>
                  <w:r>
                    <w:rPr>
                      <w:rFonts w:hint="eastAsia" w:ascii="Times New Roman" w:hAnsi="Times New Roman" w:cs="Times New Roman"/>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本项目使用的油墨、清洗剂、胶黏剂物料符合国家产品挥发性有机物（VOCs）含量限值标准，并在各工艺废气产生环节配套有严格的收集措施，采用“两级活性炭”吸附装置处理后，经排气筒高空排放，确保大气污染物符合相关标准。</w:t>
                  </w:r>
                </w:p>
                <w:p w14:paraId="40284660">
                  <w:pPr>
                    <w:pStyle w:val="28"/>
                    <w:keepNext w:val="0"/>
                    <w:keepLines w:val="0"/>
                    <w:widowControl/>
                    <w:suppressLineNumbers w:val="0"/>
                    <w:adjustRightInd w:val="0"/>
                    <w:snapToGrid w:val="0"/>
                    <w:spacing w:before="0" w:beforeAutospacing="0" w:after="0" w:afterAutospacing="0" w:line="240" w:lineRule="auto"/>
                    <w:ind w:left="0" w:leftChars="0" w:right="0" w:firstLine="0" w:firstLineChars="0"/>
                    <w:jc w:val="both"/>
                    <w:rPr>
                      <w:rFonts w:hint="eastAsia" w:ascii="Times New Roman" w:hAnsi="Times New Roman" w:cs="Times New Roman"/>
                      <w:color w:val="auto"/>
                      <w:kern w:val="2"/>
                      <w:sz w:val="21"/>
                      <w:szCs w:val="21"/>
                      <w:highlight w:val="none"/>
                      <w:lang w:val="en-US" w:eastAsia="zh-CN" w:bidi="ar"/>
                    </w:rPr>
                  </w:pPr>
                  <w:r>
                    <w:rPr>
                      <w:rFonts w:hint="eastAsia" w:ascii="Times New Roman" w:hAnsi="Times New Roman" w:cs="Times New Roman"/>
                      <w:color w:val="auto"/>
                      <w:kern w:val="2"/>
                      <w:sz w:val="21"/>
                      <w:szCs w:val="21"/>
                      <w:highlight w:val="none"/>
                      <w:lang w:val="en-US" w:eastAsia="zh-CN" w:bidi="ar"/>
                    </w:rPr>
                    <w:t>4、根据《环境监管重点单位名录管理办法》（生态环境部令第27号），包装印刷行业企业只有“规模以上企业，全部使用符合国家规定的低挥发性有机物含量油墨的除外”才纳入大气环境重点排污单位；本项目年产值为150万元，不属于规模以上企业（规模以上工业企业标准为年主营业务收入2000万元及以上）；对照阳江市生态环境局公开的《阳江市2026年环境监管重点单位名录》，本项目未被列入名录。因此，本项目不属于重点排污单位。</w:t>
                  </w:r>
                </w:p>
                <w:p w14:paraId="71C2FDAA">
                  <w:pPr>
                    <w:pStyle w:val="28"/>
                    <w:keepNext w:val="0"/>
                    <w:keepLines w:val="0"/>
                    <w:widowControl/>
                    <w:suppressLineNumbers w:val="0"/>
                    <w:adjustRightInd w:val="0"/>
                    <w:snapToGrid w:val="0"/>
                    <w:spacing w:before="0" w:beforeAutospacing="0" w:after="0" w:afterAutospacing="0" w:line="240" w:lineRule="auto"/>
                    <w:ind w:left="0" w:leftChars="0" w:right="0" w:firstLine="0" w:firstLineChars="0"/>
                    <w:jc w:val="both"/>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本项目已按照《排污单位自行监测技术指南 印刷工业》（HJ1246-2022）制定自行监测计划，明确了有组织废气和无组织</w:t>
                  </w:r>
                  <w:r>
                    <w:rPr>
                      <w:rFonts w:hint="eastAsia" w:ascii="Times New Roman" w:hAnsi="Times New Roman" w:cs="Times New Roman"/>
                      <w:color w:val="auto"/>
                      <w:kern w:val="2"/>
                      <w:sz w:val="21"/>
                      <w:szCs w:val="21"/>
                      <w:highlight w:val="none"/>
                      <w:lang w:val="en-US" w:eastAsia="zh-CN" w:bidi="ar"/>
                    </w:rPr>
                    <w:t>废气</w:t>
                  </w:r>
                  <w:r>
                    <w:rPr>
                      <w:rFonts w:hint="default" w:ascii="Times New Roman" w:hAnsi="Times New Roman" w:eastAsia="宋体" w:cs="Times New Roman"/>
                      <w:color w:val="auto"/>
                      <w:kern w:val="2"/>
                      <w:sz w:val="21"/>
                      <w:szCs w:val="21"/>
                      <w:highlight w:val="none"/>
                      <w:lang w:val="en-US" w:eastAsia="zh-CN" w:bidi="ar"/>
                    </w:rPr>
                    <w:t>的监测频次与执行标准，确保监测设备正常运行，监测数据真实有效</w:t>
                  </w:r>
                  <w:r>
                    <w:rPr>
                      <w:rFonts w:hint="eastAsia" w:ascii="Times New Roman" w:hAnsi="Times New Roman" w:eastAsia="宋体" w:cs="Times New Roman"/>
                      <w:color w:val="auto"/>
                      <w:kern w:val="2"/>
                      <w:sz w:val="21"/>
                      <w:szCs w:val="21"/>
                      <w:highlight w:val="none"/>
                      <w:lang w:val="en-US" w:eastAsia="zh-CN" w:bidi="ar"/>
                    </w:rPr>
                    <w:t>。</w:t>
                  </w:r>
                </w:p>
              </w:tc>
              <w:tc>
                <w:tcPr>
                  <w:tcW w:w="308" w:type="pct"/>
                  <w:tcBorders>
                    <w:top w:val="single" w:color="auto" w:sz="4" w:space="0"/>
                    <w:left w:val="nil"/>
                    <w:bottom w:val="single" w:color="auto" w:sz="4" w:space="0"/>
                    <w:right w:val="single" w:color="auto" w:sz="4" w:space="0"/>
                  </w:tcBorders>
                  <w:noWrap w:val="0"/>
                  <w:vAlign w:val="center"/>
                </w:tcPr>
                <w:p w14:paraId="09A44B7B">
                  <w:pPr>
                    <w:keepNext w:val="0"/>
                    <w:keepLines w:val="0"/>
                    <w:widowControl w:val="0"/>
                    <w:suppressLineNumbers w:val="0"/>
                    <w:autoSpaceDE w:val="0"/>
                    <w:autoSpaceDN/>
                    <w:adjustRightInd w:val="0"/>
                    <w:snapToGrid w:val="0"/>
                    <w:spacing w:before="0" w:beforeAutospacing="0" w:after="0" w:afterAutospacing="0"/>
                    <w:ind w:left="0" w:right="0" w:firstLine="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符合</w:t>
                  </w:r>
                </w:p>
              </w:tc>
            </w:tr>
            <w:tr w14:paraId="3CF93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05" w:type="pct"/>
                  <w:tcBorders>
                    <w:top w:val="single" w:color="auto" w:sz="4" w:space="0"/>
                    <w:left w:val="single" w:color="auto" w:sz="4" w:space="0"/>
                    <w:bottom w:val="single" w:color="auto" w:sz="4" w:space="0"/>
                    <w:right w:val="single" w:color="auto" w:sz="4" w:space="0"/>
                  </w:tcBorders>
                  <w:noWrap w:val="0"/>
                  <w:vAlign w:val="center"/>
                </w:tcPr>
                <w:p w14:paraId="72F50ECB">
                  <w:pPr>
                    <w:keepNext w:val="0"/>
                    <w:keepLines w:val="0"/>
                    <w:widowControl w:val="0"/>
                    <w:suppressLineNumbers w:val="0"/>
                    <w:autoSpaceDE w:val="0"/>
                    <w:autoSpaceDN/>
                    <w:adjustRightInd w:val="0"/>
                    <w:snapToGrid w:val="0"/>
                    <w:spacing w:before="0" w:beforeAutospacing="0" w:after="0" w:afterAutospacing="0"/>
                    <w:ind w:left="0" w:right="0" w:firstLine="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环境风险防控</w:t>
                  </w:r>
                </w:p>
              </w:tc>
              <w:tc>
                <w:tcPr>
                  <w:tcW w:w="2415" w:type="pct"/>
                  <w:tcBorders>
                    <w:top w:val="single" w:color="auto" w:sz="4" w:space="0"/>
                    <w:left w:val="nil"/>
                    <w:bottom w:val="single" w:color="auto" w:sz="4" w:space="0"/>
                    <w:right w:val="single" w:color="auto" w:sz="4" w:space="0"/>
                  </w:tcBorders>
                  <w:noWrap w:val="0"/>
                  <w:vAlign w:val="center"/>
                </w:tcPr>
                <w:p w14:paraId="5472F428">
                  <w:pPr>
                    <w:keepNext w:val="0"/>
                    <w:keepLines w:val="0"/>
                    <w:widowControl w:val="0"/>
                    <w:suppressLineNumbers w:val="0"/>
                    <w:autoSpaceDE w:val="0"/>
                    <w:autoSpaceDN/>
                    <w:adjustRightInd w:val="0"/>
                    <w:snapToGrid w:val="0"/>
                    <w:spacing w:before="0" w:beforeAutospacing="0" w:after="0" w:afterAutospacing="0"/>
                    <w:ind w:left="0" w:right="0" w:firstLine="0"/>
                    <w:jc w:val="both"/>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4-1.【风险/综合类】制定园区环境风险事故防范和应急预案，并与污水处理厂应急预案相衔接，落实有效的事故风险防范和应急措施。</w:t>
                  </w:r>
                </w:p>
                <w:p w14:paraId="1E7D9EEB">
                  <w:pPr>
                    <w:keepNext w:val="0"/>
                    <w:keepLines w:val="0"/>
                    <w:widowControl w:val="0"/>
                    <w:suppressLineNumbers w:val="0"/>
                    <w:autoSpaceDE w:val="0"/>
                    <w:autoSpaceDN/>
                    <w:adjustRightInd w:val="0"/>
                    <w:snapToGrid w:val="0"/>
                    <w:spacing w:before="0" w:beforeAutospacing="0" w:after="0" w:afterAutospacing="0"/>
                    <w:ind w:left="0" w:right="0" w:firstLine="0"/>
                    <w:jc w:val="both"/>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4-2.【风险/综合类】纳入《突发环境事件应急预案备案行业名录（指导性意见）》管理的工业企业要编制环境风险应急预案并备案，防止因渗漏污染地下水、土壤，以及因事故废水直排污染地表水体。</w:t>
                  </w:r>
                </w:p>
              </w:tc>
              <w:tc>
                <w:tcPr>
                  <w:tcW w:w="1970" w:type="pct"/>
                  <w:tcBorders>
                    <w:top w:val="single" w:color="auto" w:sz="4" w:space="0"/>
                    <w:left w:val="nil"/>
                    <w:bottom w:val="single" w:color="auto" w:sz="4" w:space="0"/>
                    <w:right w:val="single" w:color="auto" w:sz="4" w:space="0"/>
                  </w:tcBorders>
                  <w:noWrap w:val="0"/>
                  <w:vAlign w:val="center"/>
                </w:tcPr>
                <w:p w14:paraId="2143B819">
                  <w:pPr>
                    <w:keepNext w:val="0"/>
                    <w:keepLines w:val="0"/>
                    <w:widowControl w:val="0"/>
                    <w:suppressLineNumbers w:val="0"/>
                    <w:autoSpaceDE w:val="0"/>
                    <w:autoSpaceDN/>
                    <w:adjustRightInd w:val="0"/>
                    <w:snapToGrid w:val="0"/>
                    <w:spacing w:before="0" w:beforeAutospacing="0" w:after="0" w:afterAutospacing="0"/>
                    <w:ind w:left="0" w:right="0" w:firstLine="0"/>
                    <w:jc w:val="both"/>
                    <w:rPr>
                      <w:rFonts w:hint="eastAsia" w:cs="Times New Roman"/>
                      <w:color w:val="auto"/>
                      <w:kern w:val="2"/>
                      <w:sz w:val="21"/>
                      <w:szCs w:val="21"/>
                      <w:highlight w:val="none"/>
                      <w:lang w:val="en-US" w:eastAsia="zh-CN" w:bidi="ar"/>
                    </w:rPr>
                  </w:pPr>
                  <w:r>
                    <w:rPr>
                      <w:rFonts w:hint="eastAsia" w:cs="Times New Roman"/>
                      <w:color w:val="auto"/>
                      <w:kern w:val="2"/>
                      <w:sz w:val="21"/>
                      <w:szCs w:val="21"/>
                      <w:highlight w:val="none"/>
                      <w:lang w:val="en-US" w:eastAsia="zh-CN" w:bidi="ar"/>
                    </w:rPr>
                    <w:t>1.项目所在的广东阳东经济开发区已按规定制定园区综合环境风险应急预案，并于2022年11月委托专业机构完成“广东阳东经济开发区（含万象产业园）综合环境应急预案编制项目”，园区已引入“环保管家”服务模式，为企业提供环境风险防范、应急预案编制等方面的专业咨询和技术支持。本项目建成后将纳入园区统一的风险应急管理体系，积极配合园区应急演练和联动响应工作，确保与园区应急预案有效衔接；</w:t>
                  </w:r>
                </w:p>
                <w:p w14:paraId="189E6D95">
                  <w:pPr>
                    <w:keepNext w:val="0"/>
                    <w:keepLines w:val="0"/>
                    <w:widowControl w:val="0"/>
                    <w:suppressLineNumbers w:val="0"/>
                    <w:autoSpaceDE w:val="0"/>
                    <w:autoSpaceDN/>
                    <w:adjustRightInd w:val="0"/>
                    <w:snapToGrid w:val="0"/>
                    <w:spacing w:before="0" w:beforeAutospacing="0" w:after="0" w:afterAutospacing="0"/>
                    <w:ind w:left="0" w:right="0" w:firstLine="0"/>
                    <w:jc w:val="both"/>
                    <w:rPr>
                      <w:rFonts w:hint="default" w:cs="Times New Roman"/>
                      <w:color w:val="auto"/>
                      <w:kern w:val="2"/>
                      <w:sz w:val="21"/>
                      <w:szCs w:val="21"/>
                      <w:highlight w:val="none"/>
                      <w:lang w:val="en-US" w:eastAsia="zh-CN" w:bidi="ar"/>
                    </w:rPr>
                  </w:pPr>
                  <w:r>
                    <w:rPr>
                      <w:rFonts w:hint="eastAsia" w:cs="Times New Roman"/>
                      <w:color w:val="auto"/>
                      <w:kern w:val="2"/>
                      <w:sz w:val="21"/>
                      <w:szCs w:val="21"/>
                      <w:highlight w:val="none"/>
                      <w:lang w:val="en-US" w:eastAsia="zh-CN" w:bidi="ar"/>
                    </w:rPr>
                    <w:t>2.根据《突发环境事件应急预案备案行业名录（指导性意见）》（粤环〔2018〕44号）第五条规定，印刷行业需编制并备案突发环境事件应急预案的情形为：“印刷厂（水性油墨的除外）”；本项目印刷工序全部使用水性油墨（大豆油墨），不涉及溶剂型油墨的使用，属于该名录中明确的豁免情形。因此，本项目无需编制突发环境事件应急预案并备案。</w:t>
                  </w:r>
                </w:p>
              </w:tc>
              <w:tc>
                <w:tcPr>
                  <w:tcW w:w="308" w:type="pct"/>
                  <w:tcBorders>
                    <w:top w:val="single" w:color="auto" w:sz="4" w:space="0"/>
                    <w:left w:val="nil"/>
                    <w:bottom w:val="single" w:color="auto" w:sz="4" w:space="0"/>
                    <w:right w:val="single" w:color="auto" w:sz="4" w:space="0"/>
                  </w:tcBorders>
                  <w:noWrap w:val="0"/>
                  <w:vAlign w:val="center"/>
                </w:tcPr>
                <w:p w14:paraId="3EBC9377">
                  <w:pPr>
                    <w:keepNext w:val="0"/>
                    <w:keepLines w:val="0"/>
                    <w:widowControl w:val="0"/>
                    <w:suppressLineNumbers w:val="0"/>
                    <w:autoSpaceDE w:val="0"/>
                    <w:autoSpaceDN/>
                    <w:adjustRightInd w:val="0"/>
                    <w:snapToGrid w:val="0"/>
                    <w:spacing w:before="0" w:beforeAutospacing="0" w:after="0" w:afterAutospacing="0"/>
                    <w:ind w:left="0" w:right="0" w:firstLine="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符合</w:t>
                  </w:r>
                </w:p>
              </w:tc>
            </w:tr>
          </w:tbl>
          <w:p w14:paraId="21FC718D">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157" w:beforeLines="50" w:beforeAutospacing="0" w:after="0" w:afterAutospacing="0" w:line="360" w:lineRule="auto"/>
              <w:ind w:left="0" w:right="0" w:firstLine="422" w:firstLineChars="200"/>
              <w:jc w:val="left"/>
              <w:textAlignment w:val="auto"/>
              <w:rPr>
                <w:rFonts w:hint="default" w:ascii="Times New Roman" w:hAnsi="Times New Roman" w:eastAsia="宋体" w:cs="Times New Roman"/>
                <w:b/>
                <w:bCs/>
                <w:color w:val="auto"/>
                <w:kern w:val="0"/>
                <w:sz w:val="21"/>
                <w:szCs w:val="21"/>
                <w:highlight w:val="none"/>
              </w:rPr>
            </w:pPr>
            <w:r>
              <w:rPr>
                <w:rFonts w:hint="eastAsia" w:ascii="Times New Roman" w:hAnsi="Times New Roman" w:eastAsia="宋体" w:cs="Times New Roman"/>
                <w:b/>
                <w:bCs/>
                <w:color w:val="auto"/>
                <w:kern w:val="0"/>
                <w:sz w:val="21"/>
                <w:szCs w:val="21"/>
                <w:highlight w:val="none"/>
                <w:lang w:val="en-US" w:eastAsia="zh-CN"/>
              </w:rPr>
              <w:t>3、</w:t>
            </w:r>
            <w:r>
              <w:rPr>
                <w:rFonts w:hint="default" w:ascii="Times New Roman" w:hAnsi="Times New Roman" w:eastAsia="宋体" w:cs="Times New Roman"/>
                <w:b/>
                <w:bCs/>
                <w:color w:val="auto"/>
                <w:kern w:val="0"/>
                <w:sz w:val="21"/>
                <w:szCs w:val="21"/>
                <w:highlight w:val="none"/>
              </w:rPr>
              <w:t>选址合理性分析</w:t>
            </w:r>
          </w:p>
          <w:p w14:paraId="73AC35E0">
            <w:pPr>
              <w:keepNext w:val="0"/>
              <w:keepLines w:val="0"/>
              <w:suppressLineNumbers w:val="0"/>
              <w:autoSpaceDE w:val="0"/>
              <w:autoSpaceDN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本项目选址于</w:t>
            </w:r>
            <w:r>
              <w:rPr>
                <w:rFonts w:hint="eastAsia" w:cs="Times New Roman"/>
                <w:color w:val="auto"/>
                <w:kern w:val="0"/>
                <w:sz w:val="21"/>
                <w:szCs w:val="21"/>
                <w:highlight w:val="none"/>
                <w:lang w:eastAsia="zh-CN"/>
              </w:rPr>
              <w:t>阳江市阳东区北惯镇金田六路西边及霍达七路南边BN-01-12a</w:t>
            </w:r>
            <w:r>
              <w:rPr>
                <w:rFonts w:hint="default" w:ascii="Times New Roman" w:hAnsi="Times New Roman" w:eastAsia="宋体" w:cs="Times New Roman"/>
                <w:color w:val="auto"/>
                <w:kern w:val="0"/>
                <w:sz w:val="21"/>
                <w:szCs w:val="21"/>
                <w:highlight w:val="none"/>
              </w:rPr>
              <w:t>。</w:t>
            </w:r>
            <w:r>
              <w:rPr>
                <w:rFonts w:hint="default" w:ascii="Times New Roman" w:hAnsi="Times New Roman" w:eastAsia="宋体" w:cs="Times New Roman"/>
                <w:color w:val="auto"/>
                <w:kern w:val="0"/>
                <w:sz w:val="21"/>
                <w:szCs w:val="21"/>
                <w:highlight w:val="none"/>
                <w:lang w:val="en-US" w:eastAsia="zh-CN"/>
              </w:rPr>
              <w:t>根据项目所在地块不动产权证书</w:t>
            </w:r>
            <w:r>
              <w:rPr>
                <w:rFonts w:hint="eastAsia" w:cs="Times New Roman"/>
                <w:color w:val="auto"/>
                <w:kern w:val="0"/>
                <w:sz w:val="21"/>
                <w:szCs w:val="21"/>
                <w:highlight w:val="none"/>
                <w:lang w:val="en-US" w:eastAsia="zh-CN"/>
              </w:rPr>
              <w:t>〔粤府（2025）阳江市（阳东）不动产权第0009763号〕</w:t>
            </w:r>
            <w:r>
              <w:rPr>
                <w:rFonts w:hint="default" w:ascii="Times New Roman" w:hAnsi="Times New Roman" w:eastAsia="宋体" w:cs="Times New Roman"/>
                <w:color w:val="auto"/>
                <w:kern w:val="0"/>
                <w:sz w:val="21"/>
                <w:szCs w:val="21"/>
                <w:highlight w:val="none"/>
                <w:lang w:val="en-US" w:eastAsia="zh-CN"/>
              </w:rPr>
              <w:t>，本项目所在地为工业用地</w:t>
            </w:r>
            <w:r>
              <w:rPr>
                <w:rFonts w:hint="default" w:ascii="Times New Roman" w:hAnsi="Times New Roman" w:eastAsia="宋体" w:cs="Times New Roman"/>
                <w:color w:val="auto"/>
                <w:kern w:val="0"/>
                <w:sz w:val="21"/>
                <w:szCs w:val="21"/>
                <w:highlight w:val="none"/>
              </w:rPr>
              <w:t>，项目用地性质</w:t>
            </w:r>
            <w:r>
              <w:rPr>
                <w:rFonts w:hint="default" w:ascii="Times New Roman" w:hAnsi="Times New Roman" w:eastAsia="宋体" w:cs="Times New Roman"/>
                <w:color w:val="auto"/>
                <w:kern w:val="0"/>
                <w:sz w:val="21"/>
                <w:szCs w:val="21"/>
                <w:highlight w:val="none"/>
                <w:lang w:val="en-US" w:eastAsia="zh-CN"/>
              </w:rPr>
              <w:t>与土地利用规划相符</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lang w:val="en-US" w:eastAsia="zh-CN"/>
              </w:rPr>
              <w:t>项目所在地附近无饮用水源保护区、自然保护区</w:t>
            </w:r>
            <w:r>
              <w:rPr>
                <w:rFonts w:hint="default" w:ascii="Times New Roman" w:hAnsi="Times New Roman" w:eastAsia="宋体" w:cs="Times New Roman"/>
                <w:color w:val="auto"/>
                <w:kern w:val="0"/>
                <w:sz w:val="21"/>
                <w:szCs w:val="21"/>
                <w:highlight w:val="none"/>
              </w:rPr>
              <w:t>、重点生态保护区和风景名胜区</w:t>
            </w:r>
            <w:r>
              <w:rPr>
                <w:rFonts w:hint="default" w:ascii="Times New Roman" w:hAnsi="Times New Roman" w:eastAsia="宋体" w:cs="Times New Roman"/>
                <w:color w:val="auto"/>
                <w:kern w:val="0"/>
                <w:sz w:val="21"/>
                <w:szCs w:val="21"/>
                <w:highlight w:val="none"/>
                <w:lang w:val="en-US" w:eastAsia="zh-CN"/>
              </w:rPr>
              <w:t>等特殊环境敏感点</w:t>
            </w:r>
            <w:r>
              <w:rPr>
                <w:rFonts w:hint="default" w:ascii="Times New Roman" w:hAnsi="Times New Roman" w:eastAsia="宋体" w:cs="Times New Roman"/>
                <w:color w:val="auto"/>
                <w:kern w:val="0"/>
                <w:sz w:val="21"/>
                <w:szCs w:val="21"/>
                <w:highlight w:val="none"/>
              </w:rPr>
              <w:t>。因此，本项目用地符合规划部门的要求，用地合法。</w:t>
            </w:r>
          </w:p>
          <w:p w14:paraId="704DD7FF">
            <w:pPr>
              <w:pStyle w:val="80"/>
              <w:keepNext w:val="0"/>
              <w:keepLines w:val="0"/>
              <w:numPr>
                <w:ilvl w:val="0"/>
                <w:numId w:val="0"/>
              </w:numPr>
              <w:suppressLineNumbers w:val="0"/>
              <w:spacing w:before="0" w:beforeAutospacing="0" w:after="0" w:afterAutospacing="0" w:line="360" w:lineRule="auto"/>
              <w:ind w:left="0" w:right="0" w:firstLine="422" w:firstLineChars="200"/>
              <w:jc w:val="left"/>
              <w:rPr>
                <w:rFonts w:hint="default" w:ascii="Times New Roman" w:hAnsi="Times New Roman" w:eastAsia="宋体" w:cs="Times New Roman"/>
                <w:b/>
                <w:bCs/>
                <w:color w:val="auto"/>
                <w:sz w:val="21"/>
                <w:szCs w:val="21"/>
                <w:highlight w:val="none"/>
              </w:rPr>
            </w:pPr>
            <w:r>
              <w:rPr>
                <w:rFonts w:hint="eastAsia" w:ascii="Times New Roman" w:eastAsia="宋体" w:cs="Times New Roman"/>
                <w:b/>
                <w:bCs/>
                <w:color w:val="auto"/>
                <w:sz w:val="21"/>
                <w:szCs w:val="21"/>
                <w:highlight w:val="none"/>
                <w:lang w:val="en-US" w:eastAsia="zh-CN"/>
              </w:rPr>
              <w:t>4、</w:t>
            </w:r>
            <w:r>
              <w:rPr>
                <w:rFonts w:hint="default" w:ascii="Times New Roman" w:hAnsi="Times New Roman" w:eastAsia="宋体" w:cs="Times New Roman"/>
                <w:b/>
                <w:bCs/>
                <w:color w:val="auto"/>
                <w:sz w:val="21"/>
                <w:szCs w:val="21"/>
                <w:highlight w:val="none"/>
              </w:rPr>
              <w:t>环境功能符合性分析</w:t>
            </w:r>
          </w:p>
          <w:p w14:paraId="1E86B9FD">
            <w:pPr>
              <w:keepNext w:val="0"/>
              <w:keepLines w:val="0"/>
              <w:suppressLineNumbers w:val="0"/>
              <w:spacing w:before="0" w:beforeAutospacing="0" w:after="0" w:afterAutospacing="0" w:line="360" w:lineRule="auto"/>
              <w:ind w:left="0" w:right="0" w:firstLine="420" w:firstLineChars="200"/>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rPr>
              <w:t>项目位于阳东经济开发区污水处理厂的纳污范围，纳污水体为那龙河（阳东北惯东莺-北津段）水功能区划为III类，执行《地表水环境质量标准》（GB3838-2002）中的Ⅲ类标准</w:t>
            </w:r>
            <w:r>
              <w:rPr>
                <w:rFonts w:hint="default" w:ascii="Times New Roman" w:hAnsi="Times New Roman" w:eastAsia="宋体" w:cs="Times New Roman"/>
                <w:color w:val="auto"/>
                <w:kern w:val="0"/>
                <w:sz w:val="21"/>
                <w:szCs w:val="21"/>
                <w:highlight w:val="none"/>
              </w:rPr>
              <w:t>。根据阳江市大气环境功能分区图，本项目所在地环境空气属于《环境空气质量标准》（GB3095-2012）中的二类环境空气质量功能区。本项目所在区域以工业生产、仓储物流为主要功能，需要防止工业噪声对周围环境产生严重影响的区域，属于3类声环境功能区。</w:t>
            </w:r>
            <w:r>
              <w:rPr>
                <w:rFonts w:hint="default" w:ascii="Times New Roman" w:hAnsi="Times New Roman" w:eastAsia="宋体" w:cs="Times New Roman"/>
                <w:color w:val="auto"/>
                <w:sz w:val="21"/>
                <w:szCs w:val="21"/>
                <w:highlight w:val="none"/>
              </w:rPr>
              <w:t>项目所在区域不属于废水、废气禁排区域，选址可符合环境功能区划要求。</w:t>
            </w:r>
          </w:p>
          <w:p w14:paraId="18417DE6">
            <w:pPr>
              <w:pStyle w:val="80"/>
              <w:keepNext w:val="0"/>
              <w:keepLines w:val="0"/>
              <w:pageBreakBefore w:val="0"/>
              <w:numPr>
                <w:ilvl w:val="0"/>
                <w:numId w:val="0"/>
              </w:numPr>
              <w:suppressLineNumbers w:val="0"/>
              <w:kinsoku/>
              <w:wordWrap/>
              <w:overflowPunct/>
              <w:topLinePunct w:val="0"/>
              <w:bidi w:val="0"/>
              <w:adjustRightInd w:val="0"/>
              <w:snapToGrid/>
              <w:spacing w:before="0" w:beforeAutospacing="0" w:after="0" w:afterAutospacing="0" w:line="360" w:lineRule="auto"/>
              <w:ind w:left="0" w:leftChars="0" w:right="0" w:firstLine="422" w:firstLineChars="200"/>
              <w:jc w:val="left"/>
              <w:textAlignment w:val="baseline"/>
              <w:rPr>
                <w:rFonts w:hint="default" w:ascii="Times New Roman" w:hAnsi="Times New Roman" w:eastAsia="宋体" w:cs="Times New Roman"/>
                <w:b/>
                <w:bCs/>
                <w:color w:val="auto"/>
                <w:sz w:val="21"/>
                <w:szCs w:val="21"/>
                <w:highlight w:val="none"/>
              </w:rPr>
            </w:pPr>
            <w:r>
              <w:rPr>
                <w:rFonts w:hint="eastAsia" w:ascii="Times New Roman" w:eastAsia="宋体" w:cs="Times New Roman"/>
                <w:b/>
                <w:bCs/>
                <w:color w:val="auto"/>
                <w:sz w:val="21"/>
                <w:szCs w:val="21"/>
                <w:highlight w:val="none"/>
                <w:lang w:val="en-US" w:eastAsia="zh-CN"/>
              </w:rPr>
              <w:t>5、</w:t>
            </w:r>
            <w:r>
              <w:rPr>
                <w:rFonts w:hint="default" w:ascii="Times New Roman" w:hAnsi="Times New Roman" w:eastAsia="宋体" w:cs="Times New Roman"/>
                <w:b/>
                <w:bCs/>
                <w:color w:val="auto"/>
                <w:sz w:val="21"/>
                <w:szCs w:val="21"/>
                <w:highlight w:val="none"/>
              </w:rPr>
              <w:t>与</w:t>
            </w:r>
            <w:r>
              <w:rPr>
                <w:rFonts w:hint="eastAsia" w:ascii="Times New Roman" w:cs="Times New Roman"/>
                <w:b/>
                <w:bCs/>
                <w:color w:val="auto"/>
                <w:sz w:val="21"/>
                <w:szCs w:val="21"/>
                <w:highlight w:val="none"/>
                <w:lang w:eastAsia="zh-CN"/>
              </w:rPr>
              <w:t>《广东省生态环境厅关于印发〈广东省生态环境保护“十四五”规划〉的通知》（粤环〔2021〕10号）</w:t>
            </w:r>
            <w:r>
              <w:rPr>
                <w:rFonts w:hint="default" w:ascii="Times New Roman" w:hAnsi="Times New Roman" w:eastAsia="宋体" w:cs="Times New Roman"/>
                <w:b/>
                <w:bCs/>
                <w:color w:val="auto"/>
                <w:sz w:val="21"/>
                <w:szCs w:val="21"/>
                <w:highlight w:val="none"/>
              </w:rPr>
              <w:t xml:space="preserve"> 的相符性分析</w:t>
            </w:r>
          </w:p>
          <w:p w14:paraId="784986B9">
            <w:pPr>
              <w:pStyle w:val="81"/>
              <w:keepNext/>
              <w:keepLines/>
              <w:pageBreakBefore w:val="0"/>
              <w:widowControl/>
              <w:numPr>
                <w:ilvl w:val="0"/>
                <w:numId w:val="0"/>
              </w:numPr>
              <w:suppressLineNumbers w:val="0"/>
              <w:kinsoku/>
              <w:wordWrap/>
              <w:overflowPunct/>
              <w:topLinePunct w:val="0"/>
              <w:autoSpaceDE/>
              <w:autoSpaceDN/>
              <w:bidi w:val="0"/>
              <w:adjustRightInd w:val="0"/>
              <w:snapToGrid/>
              <w:spacing w:before="0" w:beforeLines="0" w:beforeAutospacing="0" w:after="0" w:afterLines="0" w:afterAutospacing="0" w:line="360" w:lineRule="auto"/>
              <w:ind w:leftChars="0" w:right="0" w:firstLine="420" w:firstLineChars="200"/>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规划要求</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大力推进挥发性有机物（VOCs）源头控制和重点行业深度治理。开展原油、成品油、有机化学品等涉VOCs物质储罐排查，深化重点行业VOCs排放基数调查，系统掌握工业源VOCs产生、处理、排放及分布情况，分类建立台账，实施VOCs精细化管理。在石化、化工、包装印刷、工业涂装等重点行业建立完善源头、过程和末端的VOCs全过程控制体系。大力推进低VOCs含量原辅材料源头替代，严格落实国家和地方产品VOCs含量限值质量标准，禁止建设生产和使用高VOCs含量的溶剂型涂料、油墨、胶粘剂等项目。 严格实施VOCs排放企业分级管控，全面推进涉VOCs排放企业深度治理。开展中小型企业废气收集和治理设施建设、运行情况的评估，强化对企业涉VOCs生产车间/工序废气的收集管理，推动企业开展治理设施升级改造。 推进工业园区、企业集群因地制宜统筹规划建设一批集中喷涂中心（共性工厂）、活性炭集中再生中心，实现VOCs集中高效处理。开展无组织排放源排查，加强含VOCs物料全方位、全链条、全环节密闭管理，深入推进泄漏检测与修复（LDAR）工作。</w:t>
            </w:r>
            <w:r>
              <w:rPr>
                <w:rFonts w:hint="eastAsia" w:ascii="Times New Roman" w:hAnsi="Times New Roman" w:eastAsia="宋体" w:cs="Times New Roman"/>
                <w:color w:val="auto"/>
                <w:sz w:val="21"/>
                <w:szCs w:val="21"/>
                <w:highlight w:val="none"/>
                <w:lang w:val="en-US" w:eastAsia="zh-CN"/>
              </w:rPr>
              <w:t>”</w:t>
            </w:r>
          </w:p>
          <w:p w14:paraId="3790EF88">
            <w:pPr>
              <w:pStyle w:val="81"/>
              <w:keepNext/>
              <w:keepLines/>
              <w:pageBreakBefore w:val="0"/>
              <w:widowControl/>
              <w:numPr>
                <w:ilvl w:val="0"/>
                <w:numId w:val="0"/>
              </w:numPr>
              <w:suppressLineNumbers w:val="0"/>
              <w:kinsoku/>
              <w:wordWrap/>
              <w:overflowPunct/>
              <w:topLinePunct w:val="0"/>
              <w:autoSpaceDE/>
              <w:autoSpaceDN/>
              <w:bidi w:val="0"/>
              <w:adjustRightInd w:val="0"/>
              <w:snapToGrid/>
              <w:spacing w:before="0" w:beforeLines="0" w:beforeAutospacing="0" w:after="0" w:afterLines="0" w:afterAutospacing="0" w:line="360" w:lineRule="auto"/>
              <w:ind w:leftChars="0" w:right="0" w:firstLine="420" w:firstLineChars="200"/>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本项目为纸制品印刷项目，属于包装印刷行业，对照上述规划要求，从源头替代、过程控制、末端治理三方面落实VOCs全过程控制体系，相符性分析如下：</w:t>
            </w:r>
          </w:p>
          <w:p w14:paraId="7B552AEF">
            <w:pPr>
              <w:pStyle w:val="81"/>
              <w:keepNext/>
              <w:keepLines/>
              <w:pageBreakBefore w:val="0"/>
              <w:widowControl/>
              <w:numPr>
                <w:ilvl w:val="0"/>
                <w:numId w:val="0"/>
              </w:numPr>
              <w:suppressLineNumbers w:val="0"/>
              <w:kinsoku/>
              <w:wordWrap/>
              <w:overflowPunct/>
              <w:topLinePunct w:val="0"/>
              <w:autoSpaceDE/>
              <w:autoSpaceDN/>
              <w:bidi w:val="0"/>
              <w:adjustRightInd w:val="0"/>
              <w:snapToGrid/>
              <w:spacing w:before="0" w:beforeLines="0" w:beforeAutospacing="0" w:after="0" w:afterLines="0" w:afterAutospacing="0" w:line="360" w:lineRule="auto"/>
              <w:ind w:leftChars="0" w:right="0" w:firstLine="420" w:firstLineChars="200"/>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（1）源头控制——低VOCs原辅材料替代</w:t>
            </w:r>
          </w:p>
          <w:p w14:paraId="09EE5A93">
            <w:pPr>
              <w:pStyle w:val="81"/>
              <w:keepNext/>
              <w:keepLines/>
              <w:pageBreakBefore w:val="0"/>
              <w:widowControl/>
              <w:numPr>
                <w:ilvl w:val="0"/>
                <w:numId w:val="0"/>
              </w:numPr>
              <w:suppressLineNumbers w:val="0"/>
              <w:kinsoku/>
              <w:wordWrap/>
              <w:overflowPunct/>
              <w:topLinePunct w:val="0"/>
              <w:autoSpaceDE/>
              <w:autoSpaceDN/>
              <w:bidi w:val="0"/>
              <w:adjustRightInd w:val="0"/>
              <w:snapToGrid/>
              <w:spacing w:before="0" w:beforeLines="0" w:beforeAutospacing="0" w:after="0" w:afterLines="0" w:afterAutospacing="0" w:line="360" w:lineRule="auto"/>
              <w:ind w:leftChars="0" w:right="0" w:firstLine="420" w:firstLineChars="200"/>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印刷工序采用大豆油墨（VOCs含量0.1%），上光工序采用水性光油（VOCs含量0.1%），粘盒工序采用封口胶（VOCs含量216g/L）及淀粉胶（不含VOCs），清洗工序采用半水基清洗剂（VOCs含量83g/L），润版采用润版液（VOCs含量26g/L）。经对照国家强制性标准，上述物料均符合《油墨中可挥发性有机化合物（VOCs）含量的限值》（GB 38507-2020）、《胶粘剂挥发性有机化合物限量》（GB 33372-2020）、《清洗剂挥发性有机化合物含量限值》（GB 38508-2020）等相关限值要求（见表2-8），本项目不使用高VOCs含量的溶剂型油墨、胶粘剂、清洗剂，符合规划关于“低VOCs含量原辅材料源头替代”的要求。</w:t>
            </w:r>
          </w:p>
          <w:p w14:paraId="5545875B">
            <w:pPr>
              <w:pStyle w:val="81"/>
              <w:keepNext/>
              <w:keepLines/>
              <w:pageBreakBefore w:val="0"/>
              <w:widowControl/>
              <w:numPr>
                <w:ilvl w:val="0"/>
                <w:numId w:val="0"/>
              </w:numPr>
              <w:suppressLineNumbers w:val="0"/>
              <w:kinsoku/>
              <w:wordWrap/>
              <w:overflowPunct/>
              <w:topLinePunct w:val="0"/>
              <w:autoSpaceDE/>
              <w:autoSpaceDN/>
              <w:bidi w:val="0"/>
              <w:adjustRightInd w:val="0"/>
              <w:snapToGrid/>
              <w:spacing w:before="0" w:beforeLines="0" w:beforeAutospacing="0" w:after="0" w:afterLines="0" w:afterAutospacing="0" w:line="360" w:lineRule="auto"/>
              <w:ind w:leftChars="0" w:right="0" w:firstLine="420" w:firstLineChars="200"/>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（2）过程控制——强化废气收集与无组织排放管控</w:t>
            </w:r>
          </w:p>
          <w:p w14:paraId="3C3A3C10">
            <w:pPr>
              <w:pStyle w:val="81"/>
              <w:keepNext/>
              <w:keepLines/>
              <w:pageBreakBefore w:val="0"/>
              <w:widowControl/>
              <w:numPr>
                <w:ilvl w:val="0"/>
                <w:numId w:val="0"/>
              </w:numPr>
              <w:suppressLineNumbers w:val="0"/>
              <w:kinsoku/>
              <w:wordWrap/>
              <w:overflowPunct/>
              <w:topLinePunct w:val="0"/>
              <w:autoSpaceDE/>
              <w:autoSpaceDN/>
              <w:bidi w:val="0"/>
              <w:adjustRightInd w:val="0"/>
              <w:snapToGrid/>
              <w:spacing w:before="0" w:beforeLines="0" w:beforeAutospacing="0" w:after="0" w:afterLines="0" w:afterAutospacing="0" w:line="360" w:lineRule="auto"/>
              <w:ind w:leftChars="0" w:right="0" w:firstLine="420" w:firstLineChars="200"/>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油墨、胶黏剂、清洗剂等含VOCs物料在非取用状态下密闭封盖存放于室内，转移、输送过程保持密闭，符合规划关于“含VOCs物料全方位、全链条、全环节密闭管理”的要求；调墨、印刷、上光、清洗工序在每台产生VOCs的设备上方设置高效集气罩进行局部气体收集（收集效率30%），胶印机安装自动橡皮布清洗技术减少清洗剂用量及人工清洗造成的无组织逸散；根据《印刷工业污染防治可行技术指南》（HJ1089-2020），本项目采用的外部集气罩收集方式属于可行技术，符合规划关于“强化对企业涉VOCs生产车间/工序废气的收集管理”的要求。</w:t>
            </w:r>
          </w:p>
          <w:p w14:paraId="2D237635">
            <w:pPr>
              <w:pStyle w:val="81"/>
              <w:keepNext/>
              <w:keepLines/>
              <w:pageBreakBefore w:val="0"/>
              <w:widowControl/>
              <w:numPr>
                <w:ilvl w:val="0"/>
                <w:numId w:val="0"/>
              </w:numPr>
              <w:suppressLineNumbers w:val="0"/>
              <w:kinsoku/>
              <w:wordWrap/>
              <w:overflowPunct/>
              <w:topLinePunct w:val="0"/>
              <w:autoSpaceDE/>
              <w:autoSpaceDN/>
              <w:bidi w:val="0"/>
              <w:adjustRightInd w:val="0"/>
              <w:snapToGrid/>
              <w:spacing w:before="0" w:beforeLines="0" w:beforeAutospacing="0" w:after="0" w:afterLines="0" w:afterAutospacing="0" w:line="360" w:lineRule="auto"/>
              <w:ind w:leftChars="0" w:right="0" w:firstLine="420" w:firstLineChars="200"/>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（3）末端治理——高效处理设施确保达标排放</w:t>
            </w:r>
          </w:p>
          <w:p w14:paraId="313A1231">
            <w:pPr>
              <w:pStyle w:val="81"/>
              <w:keepNext/>
              <w:keepLines/>
              <w:pageBreakBefore w:val="0"/>
              <w:widowControl/>
              <w:numPr>
                <w:ilvl w:val="0"/>
                <w:numId w:val="0"/>
              </w:numPr>
              <w:suppressLineNumbers w:val="0"/>
              <w:kinsoku/>
              <w:wordWrap/>
              <w:overflowPunct/>
              <w:topLinePunct w:val="0"/>
              <w:autoSpaceDE/>
              <w:autoSpaceDN/>
              <w:bidi w:val="0"/>
              <w:adjustRightInd w:val="0"/>
              <w:snapToGrid/>
              <w:spacing w:before="0" w:beforeLines="0" w:beforeAutospacing="0" w:after="0" w:afterLines="0" w:afterAutospacing="0" w:line="360" w:lineRule="auto"/>
              <w:ind w:leftChars="0" w:right="0" w:firstLine="420" w:firstLineChars="200"/>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收集的有机废气经“两级活性炭吸附装置”处理（处理效率80%）后通过15m排气筒DA001排放。对照《印刷工业污染防治可行技术指南》（HJ1089-2020）表1，活性炭吸附技术属于包装印刷废气治理可行技术。本项目不使用光催化、光氧化、低温等离子等低效治理设施，符合规划关于“全面推进涉VOCs排放企业深度治理”及推动企业开展治理设施升级改造的要求。</w:t>
            </w:r>
          </w:p>
          <w:p w14:paraId="4F71C312">
            <w:pPr>
              <w:pStyle w:val="81"/>
              <w:numPr>
                <w:ilvl w:val="0"/>
                <w:numId w:val="0"/>
              </w:numPr>
              <w:suppressLineNumbers w:val="0"/>
              <w:spacing w:beforeAutospacing="0" w:afterAutospacing="0" w:line="360" w:lineRule="auto"/>
              <w:ind w:leftChars="0" w:right="0" w:firstLine="420" w:firstLineChars="200"/>
              <w:rPr>
                <w:rFonts w:hint="default" w:ascii="Times New Roman" w:hAnsi="Times New Roman" w:eastAsia="宋体" w:cs="Times New Roman"/>
                <w:color w:val="auto"/>
                <w:sz w:val="21"/>
                <w:szCs w:val="21"/>
                <w:highlight w:val="none"/>
                <w:lang w:val="en-US" w:eastAsia="zh-CN"/>
              </w:rPr>
            </w:pPr>
            <w:r>
              <w:rPr>
                <w:rFonts w:hint="eastAsia" w:ascii="Times New Roman" w:eastAsia="宋体" w:cs="Times New Roman"/>
                <w:color w:val="auto"/>
                <w:sz w:val="21"/>
                <w:szCs w:val="21"/>
                <w:highlight w:val="none"/>
                <w:lang w:val="en-US" w:eastAsia="zh-CN"/>
              </w:rPr>
              <w:t>综上所述</w:t>
            </w:r>
            <w:r>
              <w:rPr>
                <w:rFonts w:hint="default" w:ascii="Times New Roman" w:hAnsi="Times New Roman" w:eastAsia="宋体" w:cs="Times New Roman"/>
                <w:color w:val="auto"/>
                <w:sz w:val="21"/>
                <w:szCs w:val="21"/>
                <w:highlight w:val="none"/>
                <w:lang w:val="en-US" w:eastAsia="zh-CN"/>
              </w:rPr>
              <w:t>，本项目符合</w:t>
            </w:r>
            <w:r>
              <w:rPr>
                <w:rFonts w:hint="eastAsia" w:ascii="Times New Roman" w:eastAsia="宋体" w:cs="Times New Roman"/>
                <w:color w:val="auto"/>
                <w:sz w:val="21"/>
                <w:szCs w:val="21"/>
                <w:highlight w:val="none"/>
                <w:lang w:val="en-US" w:eastAsia="zh-CN"/>
              </w:rPr>
              <w:t>《广东省生态环境厅关于印发〈广东省生态环境保护“十四五”规划〉的通知》（粤环〔2021〕10号）</w:t>
            </w:r>
            <w:r>
              <w:rPr>
                <w:rFonts w:hint="default" w:ascii="Times New Roman" w:hAnsi="Times New Roman" w:eastAsia="宋体" w:cs="Times New Roman"/>
                <w:color w:val="auto"/>
                <w:sz w:val="21"/>
                <w:szCs w:val="21"/>
                <w:highlight w:val="none"/>
                <w:lang w:val="en-US" w:eastAsia="zh-CN"/>
              </w:rPr>
              <w:t>的要求。</w:t>
            </w:r>
          </w:p>
          <w:p w14:paraId="5542794E">
            <w:pPr>
              <w:pStyle w:val="80"/>
              <w:keepNext w:val="0"/>
              <w:keepLines w:val="0"/>
              <w:suppressLineNumbers w:val="0"/>
              <w:spacing w:before="0" w:beforeAutospacing="0" w:after="0" w:afterAutospacing="0" w:line="360" w:lineRule="auto"/>
              <w:ind w:left="0" w:right="0" w:firstLine="422" w:firstLineChars="200"/>
              <w:jc w:val="left"/>
              <w:rPr>
                <w:rFonts w:hint="default" w:ascii="Times New Roman" w:hAnsi="Times New Roman" w:eastAsia="宋体" w:cs="Times New Roman"/>
                <w:b/>
                <w:bCs/>
                <w:color w:val="auto"/>
                <w:sz w:val="21"/>
                <w:szCs w:val="21"/>
                <w:highlight w:val="none"/>
              </w:rPr>
            </w:pPr>
            <w:r>
              <w:rPr>
                <w:rFonts w:hint="eastAsia" w:ascii="Times New Roman" w:eastAsia="宋体" w:cs="Times New Roman"/>
                <w:b/>
                <w:bCs/>
                <w:color w:val="auto"/>
                <w:sz w:val="21"/>
                <w:szCs w:val="21"/>
                <w:highlight w:val="none"/>
                <w:lang w:val="en-US" w:eastAsia="zh-CN"/>
              </w:rPr>
              <w:t>6、</w:t>
            </w:r>
            <w:r>
              <w:rPr>
                <w:rFonts w:hint="default" w:ascii="Times New Roman" w:hAnsi="Times New Roman" w:eastAsia="宋体" w:cs="Times New Roman"/>
                <w:b/>
                <w:bCs/>
                <w:color w:val="auto"/>
                <w:sz w:val="21"/>
                <w:szCs w:val="21"/>
                <w:highlight w:val="none"/>
              </w:rPr>
              <w:t>与《阳江市人民政府关于印发〈阳江市环境保护规划纲要（2016-2030年）〉的通知》（阳府〔2018〕37号）相符性分析</w:t>
            </w:r>
          </w:p>
          <w:p w14:paraId="6CB97295">
            <w:pPr>
              <w:keepNext w:val="0"/>
              <w:keepLines w:val="0"/>
              <w:suppressLineNumbers w:val="0"/>
              <w:autoSpaceDE w:val="0"/>
              <w:autoSpaceDN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根据《阳江市环境保护规划纲要》（2016~2030年）：“全面推进重点行业总VOCs排放治理。全面开展工业源总VOCs排放企业调查，制定阳江市总VOCs排放企业环境综合整治方案，实施</w:t>
            </w:r>
            <w:r>
              <w:rPr>
                <w:rFonts w:hint="default" w:ascii="Times New Roman" w:hAnsi="Times New Roman" w:eastAsia="宋体" w:cs="Times New Roman"/>
                <w:b/>
                <w:bCs/>
                <w:color w:val="auto"/>
                <w:sz w:val="21"/>
                <w:szCs w:val="21"/>
                <w:highlight w:val="none"/>
              </w:rPr>
              <w:t>印刷</w:t>
            </w:r>
            <w:r>
              <w:rPr>
                <w:rFonts w:hint="default" w:ascii="Times New Roman" w:hAnsi="Times New Roman" w:eastAsia="宋体" w:cs="Times New Roman"/>
                <w:color w:val="auto"/>
                <w:sz w:val="21"/>
                <w:szCs w:val="21"/>
                <w:highlight w:val="none"/>
              </w:rPr>
              <w:t>、制鞋、电子元件制造、塑料制造及塑料制品、表面涂装、纺织印染、家具制造等重点行业总VOCs排放控制与治理。推动企业采购和使用低总VOCs含量的原辅材料，采用低总VOCs排放技术工艺。</w:t>
            </w:r>
          </w:p>
          <w:p w14:paraId="6401F421">
            <w:pPr>
              <w:keepNext w:val="0"/>
              <w:keepLines w:val="0"/>
              <w:suppressLineNumbers w:val="0"/>
              <w:autoSpaceDE w:val="0"/>
              <w:autoSpaceDN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1</w:t>
            </w:r>
            <w:r>
              <w:rPr>
                <w:rFonts w:hint="eastAsia" w:ascii="Times New Roman" w:hAnsi="Times New Roman" w:eastAsia="宋体" w:cs="Times New Roman"/>
                <w:color w:val="auto"/>
                <w:sz w:val="21"/>
                <w:szCs w:val="21"/>
                <w:highlight w:val="none"/>
                <w:lang w:eastAsia="zh-CN"/>
              </w:rPr>
              <w:t>）使用低VOCs含量原辅材料：</w:t>
            </w:r>
            <w:r>
              <w:rPr>
                <w:rFonts w:hint="default" w:ascii="Times New Roman" w:hAnsi="Times New Roman" w:eastAsia="宋体" w:cs="Times New Roman"/>
                <w:color w:val="auto"/>
                <w:sz w:val="21"/>
                <w:szCs w:val="21"/>
                <w:highlight w:val="none"/>
              </w:rPr>
              <w:t>本项目印刷工序采用大豆油墨（VOCs含量0.1%），上光工序采用水性光油（VOCs含量0.1%），粘盒工序采用封口胶（VOCs含量216g/L）及淀粉胶（不含VOCs），清洗工序采用半水基清洗剂（VOCs含量83g/L），润版采用润版液（VOCs含量26g/L）。上述物料均符合国家产品VOCs含量限值标准（见表2-8），属于低VOCs含量原辅材料，符合《规划》关于“推动企业采购和使用低VOCs含量的原辅材料”的要求。</w:t>
            </w:r>
          </w:p>
          <w:p w14:paraId="3B00377F">
            <w:pPr>
              <w:keepNext w:val="0"/>
              <w:keepLines w:val="0"/>
              <w:suppressLineNumbers w:val="0"/>
              <w:autoSpaceDE w:val="0"/>
              <w:autoSpaceDN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（2）采用低VOCs排放技术工艺</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本项目胶印机安装自动橡皮布清洗技术，减少清洗剂用量及人工清洗造成的无组织逸散；使用植物油基胶印油墨替代技术（大豆油墨），从源头削减VOCs产生量；上光采用水性光油替代技术；润版采用无/低醇润湿液替代技术。以上工艺均属于《印刷工业污染防治可行技术指南》（HJ1089-2020）中的源头替代可行技术</w:t>
            </w:r>
          </w:p>
          <w:p w14:paraId="1C1DDFDB">
            <w:pPr>
              <w:keepNext w:val="0"/>
              <w:keepLines w:val="0"/>
              <w:suppressLineNumbers w:val="0"/>
              <w:autoSpaceDE w:val="0"/>
              <w:autoSpaceDN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（3）强化废气收集处理</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本项目调墨、印刷、上光、清洗工序在每台产生VOCs的设备上方设置高效集气罩进行局部气体收集（收集效率30%），收集的有机废气经“两级活性炭吸附装置”处理（处理效率80%）后通过15m排气筒DA001排放，符合《规划》关于“全面推进重点行业VOCs排放治理”的要求。</w:t>
            </w:r>
          </w:p>
          <w:p w14:paraId="574D2877">
            <w:pPr>
              <w:keepNext w:val="0"/>
              <w:keepLines w:val="0"/>
              <w:suppressLineNumbers w:val="0"/>
              <w:autoSpaceDE w:val="0"/>
              <w:autoSpaceDN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综上所述，本项目符合《阳江市环境保护规划纲要（2016～2030年）》（阳府〔2018〕37号）的相关要求。</w:t>
            </w:r>
          </w:p>
          <w:p w14:paraId="077A5100">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color w:val="auto"/>
              </w:rPr>
            </w:pPr>
            <w:r>
              <w:rPr>
                <w:rFonts w:hint="eastAsia"/>
                <w:b/>
                <w:bCs/>
                <w:color w:val="auto"/>
                <w:lang w:val="en-US" w:eastAsia="zh-CN"/>
              </w:rPr>
              <w:t>7</w:t>
            </w:r>
            <w:r>
              <w:rPr>
                <w:rFonts w:hint="eastAsia"/>
                <w:b/>
                <w:bCs/>
                <w:color w:val="auto"/>
              </w:rPr>
              <w:t>、与《阳江市阳东区生态环境保护“十四五”规划》的相符性分析</w:t>
            </w:r>
          </w:p>
          <w:p w14:paraId="5B4B32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rPr>
            </w:pPr>
            <w:r>
              <w:rPr>
                <w:rFonts w:hint="eastAsia"/>
                <w:color w:val="auto"/>
              </w:rPr>
              <w:t>根据《阳江市阳东区人民政府关于印发〈阳江市阳东区生态环境保护“十四五”规划〉的通知》（东府〔2024〕1号），《规划》提出：“推进挥发性有机物（VOCs）深度治理……大力推进低VOCs含量原辅材料和产品源头替代，落实国家和地方产品VOCs含量限值质量标准……强化对企业涉VOCs生产车间/工序废气的收集管理，推动企业开展治理设施升级改造，加强过程管控和末端排放在线监测等实用管控手段应用，鼓励企业主动开展涉及VOCs物料环节的自查……全面提升VOCs废气收集率、治理设施同步运行率和去除率。”</w:t>
            </w:r>
          </w:p>
          <w:p w14:paraId="2B5BC640">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color w:val="auto"/>
              </w:rPr>
            </w:pPr>
            <w:r>
              <w:rPr>
                <w:rFonts w:hint="eastAsia"/>
                <w:b/>
                <w:bCs/>
                <w:color w:val="auto"/>
              </w:rPr>
              <w:t>（1）源头替代——落实VOCs含量限值标准</w:t>
            </w:r>
            <w:r>
              <w:rPr>
                <w:rFonts w:hint="eastAsia"/>
                <w:b/>
                <w:bCs/>
                <w:color w:val="auto"/>
                <w:lang w:eastAsia="zh-CN"/>
              </w:rPr>
              <w:t>：</w:t>
            </w:r>
            <w:r>
              <w:rPr>
                <w:rFonts w:hint="eastAsia"/>
                <w:color w:val="auto"/>
              </w:rPr>
              <w:t>本项目使用的大豆油墨、水性光油、封口胶、清洗剂、润版液均符合国家产品VOCs含量限值标准（详见报告表2-8），属于低VOCs含量原辅材料，落实了《规划》关于“大力推进低VOCs含量原辅材料源头替代，落实国家和地方产品VOCs含量限值质量标准”的要求。</w:t>
            </w:r>
          </w:p>
          <w:p w14:paraId="2B9E265C">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color w:val="auto"/>
              </w:rPr>
            </w:pPr>
            <w:r>
              <w:rPr>
                <w:rFonts w:hint="eastAsia"/>
                <w:b/>
                <w:bCs/>
                <w:color w:val="auto"/>
              </w:rPr>
              <w:t>（2）过程控制——强化废气收集管理</w:t>
            </w:r>
            <w:r>
              <w:rPr>
                <w:rFonts w:hint="eastAsia"/>
                <w:b/>
                <w:bCs/>
                <w:color w:val="auto"/>
                <w:lang w:eastAsia="zh-CN"/>
              </w:rPr>
              <w:t>：</w:t>
            </w:r>
            <w:r>
              <w:rPr>
                <w:rFonts w:hint="eastAsia"/>
                <w:color w:val="auto"/>
              </w:rPr>
              <w:t>本项目调墨、印刷、上光、清洗工序在每台产生VOCs的设备上方设置高效集气罩进行局部气体收集，强化了涉VOCs生产车间/工序废气的收集管理，符合《规划》关于“强化对企业涉VOCs生产车间/工序废气的收集管理”的要求。</w:t>
            </w:r>
          </w:p>
          <w:p w14:paraId="30D8625E">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color w:val="auto"/>
              </w:rPr>
            </w:pPr>
            <w:r>
              <w:rPr>
                <w:rFonts w:hint="eastAsia"/>
                <w:b/>
                <w:bCs/>
                <w:color w:val="auto"/>
              </w:rPr>
              <w:t>（3）过程管控——加强无组织排放控制</w:t>
            </w:r>
            <w:r>
              <w:rPr>
                <w:rFonts w:hint="eastAsia"/>
                <w:b/>
                <w:bCs/>
                <w:color w:val="auto"/>
                <w:lang w:eastAsia="zh-CN"/>
              </w:rPr>
              <w:t>：</w:t>
            </w:r>
            <w:r>
              <w:rPr>
                <w:rFonts w:hint="eastAsia"/>
                <w:color w:val="auto"/>
              </w:rPr>
              <w:t>本项目含VOCs物料在非取用状态下密闭存放，废气收集系统与生产设备同步运行，定期开展活性炭更换和维护，加强过程管控和运行管理，符合《规划》关于“加强过程管控和末端排放在线监测等实用管控手段应用”的要求。</w:t>
            </w:r>
          </w:p>
          <w:p w14:paraId="1FF63172">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color w:val="auto"/>
              </w:rPr>
            </w:pPr>
            <w:r>
              <w:rPr>
                <w:rFonts w:hint="eastAsia"/>
                <w:b/>
                <w:bCs/>
                <w:color w:val="auto"/>
              </w:rPr>
              <w:t>（4）末端治理——提升处理效率</w:t>
            </w:r>
            <w:r>
              <w:rPr>
                <w:rFonts w:hint="eastAsia"/>
                <w:b/>
                <w:bCs/>
                <w:color w:val="auto"/>
                <w:lang w:eastAsia="zh-CN"/>
              </w:rPr>
              <w:t>：</w:t>
            </w:r>
            <w:r>
              <w:rPr>
                <w:rFonts w:hint="eastAsia"/>
                <w:color w:val="auto"/>
              </w:rPr>
              <w:t>本项目有机废气经“两级活性炭吸附装置”处理（处理效率80%），VOCs废气收集率、治理设施同步运行率和去除率均得到有效保障，符合《规划》关于“全面提升VOCs废气收集率、治理设施同步运行率和去除率”的要求。</w:t>
            </w:r>
          </w:p>
          <w:p w14:paraId="457EA1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rPr>
            </w:pPr>
            <w:r>
              <w:rPr>
                <w:rFonts w:hint="eastAsia"/>
                <w:color w:val="auto"/>
              </w:rPr>
              <w:t>综上所述，本项目符合《阳江市阳东区生态环境保护“十四五”规划》（东府〔2024〕1号）的相关要求。</w:t>
            </w:r>
          </w:p>
          <w:p w14:paraId="51859C1D">
            <w:pPr>
              <w:keepNext w:val="0"/>
              <w:keepLines w:val="0"/>
              <w:numPr>
                <w:ilvl w:val="0"/>
                <w:numId w:val="0"/>
              </w:numPr>
              <w:suppressLineNumbers w:val="0"/>
              <w:autoSpaceDE w:val="0"/>
              <w:autoSpaceDN w:val="0"/>
              <w:adjustRightInd w:val="0"/>
              <w:snapToGrid w:val="0"/>
              <w:spacing w:before="0" w:beforeAutospacing="0" w:after="0" w:afterAutospacing="0" w:line="360" w:lineRule="auto"/>
              <w:ind w:left="0" w:right="0" w:firstLine="422" w:firstLineChars="200"/>
              <w:jc w:val="both"/>
              <w:rPr>
                <w:rFonts w:hint="default" w:ascii="Times New Roman" w:hAnsi="Times New Roman" w:eastAsia="宋体" w:cs="Times New Roman"/>
                <w:b/>
                <w:bCs/>
                <w:color w:val="auto"/>
                <w:kern w:val="0"/>
                <w:sz w:val="24"/>
                <w:szCs w:val="24"/>
                <w:highlight w:val="none"/>
              </w:rPr>
            </w:pPr>
            <w:r>
              <w:rPr>
                <w:rFonts w:hint="eastAsia" w:cs="Times New Roman"/>
                <w:b/>
                <w:bCs/>
                <w:color w:val="auto"/>
                <w:kern w:val="0"/>
                <w:sz w:val="21"/>
                <w:szCs w:val="21"/>
                <w:highlight w:val="none"/>
                <w:lang w:val="en-US" w:eastAsia="zh-CN"/>
              </w:rPr>
              <w:t>8</w:t>
            </w:r>
            <w:r>
              <w:rPr>
                <w:rFonts w:hint="eastAsia" w:ascii="Times New Roman" w:hAnsi="Times New Roman" w:eastAsia="宋体" w:cs="Times New Roman"/>
                <w:b/>
                <w:bCs/>
                <w:color w:val="auto"/>
                <w:kern w:val="0"/>
                <w:sz w:val="21"/>
                <w:szCs w:val="21"/>
                <w:highlight w:val="none"/>
                <w:lang w:val="en-US" w:eastAsia="zh-CN"/>
              </w:rPr>
              <w:t>、</w:t>
            </w:r>
            <w:r>
              <w:rPr>
                <w:rFonts w:hint="default" w:ascii="Times New Roman" w:hAnsi="Times New Roman" w:eastAsia="宋体" w:cs="Times New Roman"/>
                <w:b/>
                <w:bCs/>
                <w:color w:val="auto"/>
                <w:kern w:val="0"/>
                <w:sz w:val="21"/>
                <w:szCs w:val="21"/>
                <w:highlight w:val="none"/>
                <w:lang w:val="en-US" w:eastAsia="zh-CN"/>
              </w:rPr>
              <w:t>与</w:t>
            </w:r>
            <w:r>
              <w:rPr>
                <w:rFonts w:hint="default" w:ascii="Times New Roman" w:hAnsi="Times New Roman" w:eastAsia="宋体" w:cs="Times New Roman"/>
                <w:b/>
                <w:bCs/>
                <w:color w:val="auto"/>
                <w:kern w:val="0"/>
                <w:sz w:val="21"/>
                <w:szCs w:val="21"/>
                <w:highlight w:val="none"/>
                <w:lang w:eastAsia="zh-CN"/>
              </w:rPr>
              <w:t>《</w:t>
            </w:r>
            <w:r>
              <w:rPr>
                <w:rFonts w:hint="default" w:ascii="Times New Roman" w:hAnsi="Times New Roman" w:eastAsia="宋体" w:cs="Times New Roman"/>
                <w:b/>
                <w:bCs/>
                <w:color w:val="auto"/>
                <w:kern w:val="0"/>
                <w:sz w:val="21"/>
                <w:szCs w:val="21"/>
                <w:highlight w:val="none"/>
                <w:lang w:val="en-US" w:eastAsia="zh-CN"/>
              </w:rPr>
              <w:t>挥发性有机物无组织排放控制标准</w:t>
            </w:r>
            <w:r>
              <w:rPr>
                <w:rFonts w:hint="default" w:ascii="Times New Roman" w:hAnsi="Times New Roman" w:eastAsia="宋体" w:cs="Times New Roman"/>
                <w:b/>
                <w:bCs/>
                <w:color w:val="auto"/>
                <w:kern w:val="0"/>
                <w:sz w:val="21"/>
                <w:szCs w:val="21"/>
                <w:highlight w:val="none"/>
                <w:lang w:eastAsia="zh-CN"/>
              </w:rPr>
              <w:t>》（</w:t>
            </w:r>
            <w:r>
              <w:rPr>
                <w:rFonts w:hint="default" w:ascii="Times New Roman" w:hAnsi="Times New Roman" w:eastAsia="宋体" w:cs="Times New Roman"/>
                <w:b/>
                <w:bCs/>
                <w:color w:val="auto"/>
                <w:kern w:val="0"/>
                <w:sz w:val="21"/>
                <w:szCs w:val="21"/>
                <w:highlight w:val="none"/>
                <w:lang w:val="en-US" w:eastAsia="zh-CN"/>
              </w:rPr>
              <w:t>GB37822-2019</w:t>
            </w:r>
            <w:r>
              <w:rPr>
                <w:rFonts w:hint="default" w:ascii="Times New Roman" w:hAnsi="Times New Roman" w:eastAsia="宋体" w:cs="Times New Roman"/>
                <w:b/>
                <w:bCs/>
                <w:color w:val="auto"/>
                <w:kern w:val="0"/>
                <w:sz w:val="21"/>
                <w:szCs w:val="21"/>
                <w:highlight w:val="none"/>
                <w:lang w:eastAsia="zh-CN"/>
              </w:rPr>
              <w:t>）</w:t>
            </w:r>
            <w:r>
              <w:rPr>
                <w:rFonts w:hint="default" w:ascii="Times New Roman" w:hAnsi="Times New Roman" w:eastAsia="宋体" w:cs="Times New Roman"/>
                <w:b/>
                <w:bCs/>
                <w:color w:val="auto"/>
                <w:kern w:val="0"/>
                <w:sz w:val="21"/>
                <w:szCs w:val="21"/>
                <w:highlight w:val="none"/>
              </w:rPr>
              <w:t>相符性分析</w:t>
            </w:r>
          </w:p>
          <w:p w14:paraId="4214C587">
            <w:pPr>
              <w:keepNext w:val="0"/>
              <w:keepLines w:val="0"/>
              <w:numPr>
                <w:ilvl w:val="0"/>
                <w:numId w:val="0"/>
              </w:numPr>
              <w:suppressLineNumbers w:val="0"/>
              <w:autoSpaceDE w:val="0"/>
              <w:autoSpaceDN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Cs w:val="21"/>
                <w:highlight w:val="none"/>
                <w:vertAlign w:val="baseline"/>
                <w:lang w:val="en-US" w:eastAsia="zh-CN"/>
              </w:rPr>
            </w:pPr>
            <w:r>
              <w:rPr>
                <w:rFonts w:hint="default" w:ascii="Times New Roman" w:hAnsi="Times New Roman" w:eastAsia="宋体" w:cs="Times New Roman"/>
                <w:b/>
                <w:bCs/>
                <w:color w:val="auto"/>
                <w:kern w:val="0"/>
                <w:szCs w:val="21"/>
                <w:highlight w:val="none"/>
                <w:vertAlign w:val="baseline"/>
                <w:lang w:val="en-US" w:eastAsia="zh-CN"/>
              </w:rPr>
              <w:t>表</w:t>
            </w:r>
            <w:r>
              <w:rPr>
                <w:rFonts w:hint="eastAsia" w:cs="Times New Roman"/>
                <w:b/>
                <w:bCs/>
                <w:color w:val="auto"/>
                <w:kern w:val="0"/>
                <w:szCs w:val="21"/>
                <w:highlight w:val="none"/>
                <w:vertAlign w:val="baseline"/>
                <w:lang w:val="en-US" w:eastAsia="zh-CN"/>
              </w:rPr>
              <w:t>1-</w:t>
            </w:r>
            <w:r>
              <w:rPr>
                <w:rFonts w:hint="eastAsia" w:ascii="Times New Roman" w:hAnsi="Times New Roman" w:eastAsia="宋体" w:cs="Times New Roman"/>
                <w:b/>
                <w:bCs/>
                <w:color w:val="auto"/>
                <w:kern w:val="0"/>
                <w:szCs w:val="21"/>
                <w:highlight w:val="none"/>
                <w:vertAlign w:val="baseline"/>
                <w:lang w:val="en-US" w:eastAsia="zh-CN"/>
              </w:rPr>
              <w:t xml:space="preserve">5 </w:t>
            </w:r>
            <w:r>
              <w:rPr>
                <w:rFonts w:hint="default" w:ascii="Times New Roman" w:hAnsi="Times New Roman" w:eastAsia="宋体" w:cs="Times New Roman"/>
                <w:b/>
                <w:bCs/>
                <w:color w:val="auto"/>
                <w:kern w:val="0"/>
                <w:szCs w:val="21"/>
                <w:highlight w:val="none"/>
                <w:vertAlign w:val="baseline"/>
                <w:lang w:val="en-US" w:eastAsia="zh-CN"/>
              </w:rPr>
              <w:t>《挥发性有机物无组织排放控制标准》（GB37822-2019）（摘录）</w:t>
            </w:r>
          </w:p>
          <w:tbl>
            <w:tblPr>
              <w:tblStyle w:val="3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9"/>
              <w:gridCol w:w="871"/>
              <w:gridCol w:w="968"/>
              <w:gridCol w:w="3512"/>
              <w:gridCol w:w="2134"/>
            </w:tblGrid>
            <w:tr w14:paraId="4224D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0" w:type="pct"/>
                  <w:tcBorders>
                    <w:top w:val="single" w:color="auto" w:sz="4" w:space="0"/>
                    <w:left w:val="single" w:color="auto" w:sz="4" w:space="0"/>
                    <w:bottom w:val="single" w:color="auto" w:sz="4" w:space="0"/>
                    <w:right w:val="single" w:color="auto" w:sz="4" w:space="0"/>
                  </w:tcBorders>
                  <w:noWrap w:val="0"/>
                  <w:vAlign w:val="center"/>
                </w:tcPr>
                <w:p w14:paraId="4552481C">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源项</w:t>
                  </w:r>
                </w:p>
              </w:tc>
              <w:tc>
                <w:tcPr>
                  <w:tcW w:w="520" w:type="pct"/>
                  <w:tcBorders>
                    <w:top w:val="single" w:color="auto" w:sz="4" w:space="0"/>
                    <w:left w:val="nil"/>
                    <w:bottom w:val="single" w:color="auto" w:sz="4" w:space="0"/>
                    <w:right w:val="single" w:color="auto" w:sz="4" w:space="0"/>
                  </w:tcBorders>
                  <w:noWrap w:val="0"/>
                  <w:vAlign w:val="center"/>
                </w:tcPr>
                <w:p w14:paraId="4BC553E1">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控制环境</w:t>
                  </w:r>
                </w:p>
              </w:tc>
              <w:tc>
                <w:tcPr>
                  <w:tcW w:w="2680" w:type="pct"/>
                  <w:gridSpan w:val="2"/>
                  <w:tcBorders>
                    <w:top w:val="single" w:color="auto" w:sz="4" w:space="0"/>
                    <w:left w:val="nil"/>
                    <w:bottom w:val="single" w:color="auto" w:sz="4" w:space="0"/>
                    <w:right w:val="single" w:color="auto" w:sz="4" w:space="0"/>
                  </w:tcBorders>
                  <w:noWrap w:val="0"/>
                  <w:vAlign w:val="center"/>
                </w:tcPr>
                <w:p w14:paraId="33510554">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控制要求</w:t>
                  </w:r>
                </w:p>
              </w:tc>
              <w:tc>
                <w:tcPr>
                  <w:tcW w:w="1277" w:type="pct"/>
                  <w:tcBorders>
                    <w:top w:val="single" w:color="auto" w:sz="4" w:space="0"/>
                    <w:left w:val="nil"/>
                    <w:bottom w:val="single" w:color="auto" w:sz="4" w:space="0"/>
                    <w:right w:val="single" w:color="auto" w:sz="4" w:space="0"/>
                  </w:tcBorders>
                  <w:noWrap w:val="0"/>
                  <w:vAlign w:val="center"/>
                </w:tcPr>
                <w:p w14:paraId="19B84ED8">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相符性分析</w:t>
                  </w:r>
                </w:p>
              </w:tc>
            </w:tr>
            <w:tr w14:paraId="1DCB2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20" w:type="pct"/>
                  <w:tcBorders>
                    <w:top w:val="single" w:color="auto" w:sz="4" w:space="0"/>
                    <w:left w:val="single" w:color="auto" w:sz="4" w:space="0"/>
                    <w:bottom w:val="single" w:color="auto" w:sz="4" w:space="0"/>
                    <w:right w:val="single" w:color="auto" w:sz="4" w:space="0"/>
                  </w:tcBorders>
                  <w:noWrap w:val="0"/>
                  <w:vAlign w:val="center"/>
                </w:tcPr>
                <w:p w14:paraId="7947FB22">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基本要求</w:t>
                  </w:r>
                </w:p>
              </w:tc>
              <w:tc>
                <w:tcPr>
                  <w:tcW w:w="520" w:type="pct"/>
                  <w:tcBorders>
                    <w:top w:val="single" w:color="auto" w:sz="4" w:space="0"/>
                    <w:left w:val="nil"/>
                    <w:bottom w:val="single" w:color="auto" w:sz="4" w:space="0"/>
                    <w:right w:val="single" w:color="auto" w:sz="4" w:space="0"/>
                  </w:tcBorders>
                  <w:noWrap w:val="0"/>
                  <w:vAlign w:val="center"/>
                </w:tcPr>
                <w:p w14:paraId="26865B28">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物料储存</w:t>
                  </w:r>
                </w:p>
              </w:tc>
              <w:tc>
                <w:tcPr>
                  <w:tcW w:w="2680" w:type="pct"/>
                  <w:gridSpan w:val="2"/>
                  <w:tcBorders>
                    <w:top w:val="single" w:color="auto" w:sz="4" w:space="0"/>
                    <w:left w:val="nil"/>
                    <w:bottom w:val="single" w:color="auto" w:sz="4" w:space="0"/>
                    <w:right w:val="single" w:color="auto" w:sz="4" w:space="0"/>
                  </w:tcBorders>
                  <w:noWrap w:val="0"/>
                  <w:vAlign w:val="center"/>
                </w:tcPr>
                <w:p w14:paraId="1E7E6837">
                  <w:pPr>
                    <w:keepNext w:val="0"/>
                    <w:keepLines w:val="0"/>
                    <w:widowControl w:val="0"/>
                    <w:suppressLineNumbers w:val="0"/>
                    <w:autoSpaceDE w:val="0"/>
                    <w:autoSpaceDN w:val="0"/>
                    <w:adjustRightInd w:val="0"/>
                    <w:snapToGrid w:val="0"/>
                    <w:spacing w:before="0" w:beforeAutospacing="0" w:after="0" w:afterAutospacing="0"/>
                    <w:ind w:left="0" w:right="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VOCs</w:t>
                  </w:r>
                  <w:r>
                    <w:rPr>
                      <w:rFonts w:hint="eastAsia" w:ascii="宋体" w:hAnsi="宋体" w:eastAsia="宋体" w:cs="宋体"/>
                      <w:color w:val="auto"/>
                      <w:kern w:val="0"/>
                      <w:sz w:val="21"/>
                      <w:szCs w:val="21"/>
                      <w:highlight w:val="none"/>
                      <w:lang w:val="en-US" w:eastAsia="zh-CN" w:bidi="ar"/>
                    </w:rPr>
                    <w:t>物料应储存于密闭的容器、包装袋、储罐、储库、料仓中；</w:t>
                  </w: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、盛装</w:t>
                  </w:r>
                  <w:r>
                    <w:rPr>
                      <w:rFonts w:hint="default" w:ascii="Times New Roman" w:hAnsi="Times New Roman" w:eastAsia="宋体" w:cs="Times New Roman"/>
                      <w:color w:val="auto"/>
                      <w:kern w:val="0"/>
                      <w:sz w:val="21"/>
                      <w:szCs w:val="21"/>
                      <w:highlight w:val="none"/>
                      <w:lang w:val="en-US" w:eastAsia="zh-CN" w:bidi="ar"/>
                    </w:rPr>
                    <w:t>VOCs</w:t>
                  </w:r>
                  <w:r>
                    <w:rPr>
                      <w:rFonts w:hint="eastAsia" w:ascii="宋体" w:hAnsi="宋体" w:eastAsia="宋体" w:cs="宋体"/>
                      <w:color w:val="auto"/>
                      <w:kern w:val="0"/>
                      <w:sz w:val="21"/>
                      <w:szCs w:val="21"/>
                      <w:highlight w:val="none"/>
                      <w:lang w:val="en-US" w:eastAsia="zh-CN" w:bidi="ar"/>
                    </w:rPr>
                    <w:t>物料的容器或包装袋应存放于室内、或存放于设置有雨棚、遮阳和设施的专用场地。盛装</w:t>
                  </w:r>
                  <w:r>
                    <w:rPr>
                      <w:rFonts w:hint="default" w:ascii="Times New Roman" w:hAnsi="Times New Roman" w:eastAsia="宋体" w:cs="Times New Roman"/>
                      <w:color w:val="auto"/>
                      <w:kern w:val="0"/>
                      <w:sz w:val="21"/>
                      <w:szCs w:val="21"/>
                      <w:highlight w:val="none"/>
                      <w:lang w:val="en-US" w:eastAsia="zh-CN" w:bidi="ar"/>
                    </w:rPr>
                    <w:t>VOCs</w:t>
                  </w:r>
                  <w:r>
                    <w:rPr>
                      <w:rFonts w:hint="eastAsia" w:ascii="宋体" w:hAnsi="宋体" w:eastAsia="宋体" w:cs="宋体"/>
                      <w:color w:val="auto"/>
                      <w:kern w:val="0"/>
                      <w:sz w:val="21"/>
                      <w:szCs w:val="21"/>
                      <w:highlight w:val="none"/>
                      <w:lang w:val="en-US" w:eastAsia="zh-CN" w:bidi="ar"/>
                    </w:rPr>
                    <w:t>物料的容器或包装袋在非取用状态时应加盖、封口，保持密闭；</w:t>
                  </w: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VOCs</w:t>
                  </w:r>
                  <w:r>
                    <w:rPr>
                      <w:rFonts w:hint="eastAsia" w:ascii="宋体" w:hAnsi="宋体" w:eastAsia="宋体" w:cs="宋体"/>
                      <w:color w:val="auto"/>
                      <w:kern w:val="0"/>
                      <w:sz w:val="21"/>
                      <w:szCs w:val="21"/>
                      <w:highlight w:val="none"/>
                      <w:lang w:val="en-US" w:eastAsia="zh-CN" w:bidi="ar"/>
                    </w:rPr>
                    <w:t>物料储罐应密封良好。</w:t>
                  </w:r>
                </w:p>
              </w:tc>
              <w:tc>
                <w:tcPr>
                  <w:tcW w:w="1277" w:type="pct"/>
                  <w:tcBorders>
                    <w:top w:val="single" w:color="auto" w:sz="4" w:space="0"/>
                    <w:left w:val="nil"/>
                    <w:bottom w:val="single" w:color="auto" w:sz="4" w:space="0"/>
                    <w:right w:val="single" w:color="auto" w:sz="4" w:space="0"/>
                  </w:tcBorders>
                  <w:noWrap w:val="0"/>
                  <w:vAlign w:val="center"/>
                </w:tcPr>
                <w:p w14:paraId="418FCF18">
                  <w:pPr>
                    <w:keepNext w:val="0"/>
                    <w:keepLines w:val="0"/>
                    <w:widowControl w:val="0"/>
                    <w:suppressLineNumbers w:val="0"/>
                    <w:autoSpaceDE w:val="0"/>
                    <w:autoSpaceDN w:val="0"/>
                    <w:adjustRightInd w:val="0"/>
                    <w:snapToGrid w:val="0"/>
                    <w:spacing w:before="0" w:beforeAutospacing="0" w:after="0" w:afterAutospacing="0"/>
                    <w:ind w:left="0" w:right="0"/>
                    <w:jc w:val="both"/>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本项目涉VOCs物料均使用桶装，非取用状态时均加盖、保持密闭，均放置于室内，符合要求。</w:t>
                  </w:r>
                </w:p>
              </w:tc>
            </w:tr>
            <w:tr w14:paraId="59324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520" w:type="pct"/>
                  <w:tcBorders>
                    <w:top w:val="single" w:color="auto" w:sz="4" w:space="0"/>
                    <w:left w:val="single" w:color="auto" w:sz="4" w:space="0"/>
                    <w:bottom w:val="single" w:color="auto" w:sz="4" w:space="0"/>
                    <w:right w:val="single" w:color="auto" w:sz="4" w:space="0"/>
                  </w:tcBorders>
                  <w:noWrap w:val="0"/>
                  <w:vAlign w:val="center"/>
                </w:tcPr>
                <w:p w14:paraId="73DA2FB7">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ar"/>
                    </w:rPr>
                    <w:t>VOCs</w:t>
                  </w:r>
                  <w:r>
                    <w:rPr>
                      <w:rFonts w:hint="eastAsia" w:ascii="宋体" w:hAnsi="宋体" w:eastAsia="宋体" w:cs="宋体"/>
                      <w:color w:val="auto"/>
                      <w:kern w:val="0"/>
                      <w:sz w:val="21"/>
                      <w:szCs w:val="21"/>
                      <w:highlight w:val="none"/>
                      <w:lang w:val="en-US" w:eastAsia="zh-CN" w:bidi="ar"/>
                    </w:rPr>
                    <w:t>物料转移和输送</w:t>
                  </w:r>
                </w:p>
              </w:tc>
              <w:tc>
                <w:tcPr>
                  <w:tcW w:w="520" w:type="pct"/>
                  <w:tcBorders>
                    <w:top w:val="single" w:color="auto" w:sz="4" w:space="0"/>
                    <w:left w:val="nil"/>
                    <w:bottom w:val="single" w:color="auto" w:sz="4" w:space="0"/>
                    <w:right w:val="single" w:color="auto" w:sz="4" w:space="0"/>
                  </w:tcBorders>
                  <w:noWrap w:val="0"/>
                  <w:vAlign w:val="center"/>
                </w:tcPr>
                <w:p w14:paraId="1DADF17C">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基本要求</w:t>
                  </w:r>
                </w:p>
              </w:tc>
              <w:tc>
                <w:tcPr>
                  <w:tcW w:w="579" w:type="pct"/>
                  <w:tcBorders>
                    <w:top w:val="single" w:color="auto" w:sz="4" w:space="0"/>
                    <w:left w:val="nil"/>
                    <w:bottom w:val="single" w:color="auto" w:sz="4" w:space="0"/>
                    <w:right w:val="single" w:color="auto" w:sz="4" w:space="0"/>
                  </w:tcBorders>
                  <w:noWrap w:val="0"/>
                  <w:vAlign w:val="center"/>
                </w:tcPr>
                <w:p w14:paraId="7893FF5C">
                  <w:pPr>
                    <w:keepNext w:val="0"/>
                    <w:keepLines w:val="0"/>
                    <w:widowControl w:val="0"/>
                    <w:suppressLineNumbers w:val="0"/>
                    <w:autoSpaceDE w:val="0"/>
                    <w:autoSpaceDN w:val="0"/>
                    <w:adjustRightInd w:val="0"/>
                    <w:snapToGrid w:val="0"/>
                    <w:spacing w:before="0" w:beforeAutospacing="0" w:after="0" w:afterAutospacing="0"/>
                    <w:ind w:left="0" w:right="0"/>
                    <w:jc w:val="left"/>
                    <w:rPr>
                      <w:rFonts w:hint="default" w:ascii="Times New Roman" w:hAnsi="Times New Roman" w:eastAsia="宋体" w:cs="Times New Roman"/>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液态</w:t>
                  </w:r>
                  <w:r>
                    <w:rPr>
                      <w:rFonts w:hint="default" w:ascii="Times New Roman" w:hAnsi="Times New Roman" w:eastAsia="宋体" w:cs="Times New Roman"/>
                      <w:color w:val="auto"/>
                      <w:kern w:val="0"/>
                      <w:sz w:val="21"/>
                      <w:szCs w:val="21"/>
                      <w:highlight w:val="none"/>
                      <w:lang w:val="en-US" w:eastAsia="zh-CN" w:bidi="ar"/>
                    </w:rPr>
                    <w:t>VOCs</w:t>
                  </w:r>
                  <w:r>
                    <w:rPr>
                      <w:rFonts w:hint="eastAsia" w:ascii="宋体" w:hAnsi="宋体" w:eastAsia="宋体" w:cs="宋体"/>
                      <w:color w:val="auto"/>
                      <w:kern w:val="0"/>
                      <w:sz w:val="21"/>
                      <w:szCs w:val="21"/>
                      <w:highlight w:val="none"/>
                      <w:lang w:val="en-US" w:eastAsia="zh-CN" w:bidi="ar"/>
                    </w:rPr>
                    <w:t>物料</w:t>
                  </w:r>
                </w:p>
              </w:tc>
              <w:tc>
                <w:tcPr>
                  <w:tcW w:w="2101" w:type="pct"/>
                  <w:tcBorders>
                    <w:top w:val="single" w:color="auto" w:sz="4" w:space="0"/>
                    <w:left w:val="nil"/>
                    <w:bottom w:val="single" w:color="auto" w:sz="4" w:space="0"/>
                    <w:right w:val="single" w:color="auto" w:sz="4" w:space="0"/>
                  </w:tcBorders>
                  <w:noWrap w:val="0"/>
                  <w:vAlign w:val="center"/>
                </w:tcPr>
                <w:p w14:paraId="0BACCEF6">
                  <w:pPr>
                    <w:keepNext w:val="0"/>
                    <w:keepLines w:val="0"/>
                    <w:widowControl w:val="0"/>
                    <w:suppressLineNumbers w:val="0"/>
                    <w:autoSpaceDE w:val="0"/>
                    <w:autoSpaceDN w:val="0"/>
                    <w:adjustRightInd w:val="0"/>
                    <w:snapToGrid w:val="0"/>
                    <w:spacing w:before="0" w:beforeAutospacing="0" w:after="0" w:afterAutospacing="0"/>
                    <w:ind w:left="0" w:right="0"/>
                    <w:jc w:val="left"/>
                    <w:rPr>
                      <w:rFonts w:hint="default" w:ascii="Times New Roman" w:hAnsi="Times New Roman" w:eastAsia="宋体" w:cs="Times New Roman"/>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应采用管道密闭输送。采用非管道输送方式转移液态</w:t>
                  </w:r>
                  <w:r>
                    <w:rPr>
                      <w:rFonts w:hint="default" w:ascii="Times New Roman" w:hAnsi="Times New Roman" w:eastAsia="宋体" w:cs="Times New Roman"/>
                      <w:color w:val="auto"/>
                      <w:kern w:val="0"/>
                      <w:sz w:val="21"/>
                      <w:szCs w:val="21"/>
                      <w:highlight w:val="none"/>
                      <w:lang w:val="en-US" w:eastAsia="zh-CN" w:bidi="ar"/>
                    </w:rPr>
                    <w:t>VOCs</w:t>
                  </w:r>
                  <w:r>
                    <w:rPr>
                      <w:rFonts w:hint="eastAsia" w:ascii="宋体" w:hAnsi="宋体" w:eastAsia="宋体" w:cs="宋体"/>
                      <w:color w:val="auto"/>
                      <w:kern w:val="0"/>
                      <w:sz w:val="21"/>
                      <w:szCs w:val="21"/>
                      <w:highlight w:val="none"/>
                      <w:lang w:val="en-US" w:eastAsia="zh-CN" w:bidi="ar"/>
                    </w:rPr>
                    <w:t>物料时，应采用密闭容器、罐车。</w:t>
                  </w:r>
                </w:p>
              </w:tc>
              <w:tc>
                <w:tcPr>
                  <w:tcW w:w="1277" w:type="pct"/>
                  <w:tcBorders>
                    <w:top w:val="single" w:color="auto" w:sz="4" w:space="0"/>
                    <w:left w:val="nil"/>
                    <w:bottom w:val="single" w:color="auto" w:sz="4" w:space="0"/>
                    <w:right w:val="single" w:color="auto" w:sz="4" w:space="0"/>
                  </w:tcBorders>
                  <w:noWrap w:val="0"/>
                  <w:vAlign w:val="center"/>
                </w:tcPr>
                <w:p w14:paraId="3C863927">
                  <w:pPr>
                    <w:keepNext w:val="0"/>
                    <w:keepLines w:val="0"/>
                    <w:widowControl w:val="0"/>
                    <w:suppressLineNumbers w:val="0"/>
                    <w:autoSpaceDE w:val="0"/>
                    <w:autoSpaceDN w:val="0"/>
                    <w:adjustRightInd w:val="0"/>
                    <w:snapToGrid w:val="0"/>
                    <w:spacing w:before="0" w:beforeAutospacing="0" w:after="0" w:afterAutospacing="0"/>
                    <w:ind w:left="0" w:right="0"/>
                    <w:jc w:val="both"/>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本项目涉VOCs物料为液态，均使用密闭桶装，符合要求。本项目不涉及挥发性有机液体装载，符合要求。</w:t>
                  </w:r>
                </w:p>
              </w:tc>
            </w:tr>
            <w:tr w14:paraId="604C4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0" w:type="pct"/>
                  <w:vMerge w:val="restart"/>
                  <w:tcBorders>
                    <w:top w:val="nil"/>
                    <w:left w:val="single" w:color="auto" w:sz="4" w:space="0"/>
                    <w:bottom w:val="single" w:color="auto" w:sz="4" w:space="0"/>
                    <w:right w:val="single" w:color="auto" w:sz="4" w:space="0"/>
                  </w:tcBorders>
                  <w:noWrap w:val="0"/>
                  <w:vAlign w:val="center"/>
                </w:tcPr>
                <w:p w14:paraId="4DD312FC">
                  <w:pPr>
                    <w:keepNext w:val="0"/>
                    <w:keepLines w:val="0"/>
                    <w:suppressLineNumbers w:val="0"/>
                    <w:spacing w:before="0" w:beforeAutospacing="0" w:after="0" w:afterAutospacing="0"/>
                    <w:ind w:left="0" w:right="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工艺过程VOCs无组织排放</w:t>
                  </w:r>
                </w:p>
              </w:tc>
              <w:tc>
                <w:tcPr>
                  <w:tcW w:w="520" w:type="pct"/>
                  <w:tcBorders>
                    <w:top w:val="single" w:color="auto" w:sz="4" w:space="0"/>
                    <w:left w:val="nil"/>
                    <w:bottom w:val="single" w:color="auto" w:sz="4" w:space="0"/>
                    <w:right w:val="single" w:color="auto" w:sz="4" w:space="0"/>
                  </w:tcBorders>
                  <w:noWrap w:val="0"/>
                  <w:vAlign w:val="center"/>
                </w:tcPr>
                <w:p w14:paraId="2CE57B86">
                  <w:pPr>
                    <w:pStyle w:val="28"/>
                    <w:keepNext w:val="0"/>
                    <w:keepLines w:val="0"/>
                    <w:widowControl w:val="0"/>
                    <w:suppressLineNumbers w:val="0"/>
                    <w:autoSpaceDE w:val="0"/>
                    <w:autoSpaceDN w:val="0"/>
                    <w:adjustRightInd w:val="0"/>
                    <w:spacing w:before="0" w:beforeAutospacing="0" w:after="0" w:afterAutospacing="0"/>
                    <w:ind w:left="0" w:right="0" w:firstLine="0"/>
                    <w:jc w:val="center"/>
                    <w:textAlignment w:val="baseline"/>
                    <w:rPr>
                      <w:rFonts w:hint="default" w:ascii="Times New Roman" w:hAnsi="Times New Roman" w:eastAsia="宋体" w:cs="Times New Roman"/>
                      <w:bCs w:val="0"/>
                      <w:color w:val="auto"/>
                      <w:kern w:val="0"/>
                      <w:sz w:val="21"/>
                      <w:szCs w:val="21"/>
                      <w:highlight w:val="none"/>
                      <w:vertAlign w:val="baseline"/>
                      <w:lang w:val="en-US" w:eastAsia="zh-CN"/>
                    </w:rPr>
                  </w:pPr>
                  <w:r>
                    <w:rPr>
                      <w:rFonts w:hint="default" w:ascii="Times New Roman" w:hAnsi="Times New Roman" w:eastAsia="宋体" w:cs="Times New Roman"/>
                      <w:bCs w:val="0"/>
                      <w:color w:val="auto"/>
                      <w:kern w:val="0"/>
                      <w:sz w:val="21"/>
                      <w:szCs w:val="21"/>
                      <w:highlight w:val="none"/>
                      <w:vertAlign w:val="baseline"/>
                      <w:lang w:val="en-US" w:eastAsia="zh-CN" w:bidi="ar"/>
                    </w:rPr>
                    <w:t>VOCs</w:t>
                  </w:r>
                  <w:r>
                    <w:rPr>
                      <w:rFonts w:hint="eastAsia" w:ascii="宋体" w:hAnsi="宋体" w:eastAsia="宋体" w:cs="宋体"/>
                      <w:bCs w:val="0"/>
                      <w:color w:val="auto"/>
                      <w:kern w:val="0"/>
                      <w:sz w:val="21"/>
                      <w:szCs w:val="21"/>
                      <w:highlight w:val="none"/>
                      <w:vertAlign w:val="baseline"/>
                      <w:lang w:val="en-US" w:eastAsia="zh-CN" w:bidi="ar"/>
                    </w:rPr>
                    <w:t>物料投加和卸放</w:t>
                  </w:r>
                </w:p>
              </w:tc>
              <w:tc>
                <w:tcPr>
                  <w:tcW w:w="2680" w:type="pct"/>
                  <w:gridSpan w:val="2"/>
                  <w:tcBorders>
                    <w:top w:val="single" w:color="auto" w:sz="4" w:space="0"/>
                    <w:left w:val="nil"/>
                    <w:bottom w:val="single" w:color="auto" w:sz="4" w:space="0"/>
                    <w:right w:val="single" w:color="auto" w:sz="4" w:space="0"/>
                  </w:tcBorders>
                  <w:noWrap w:val="0"/>
                  <w:vAlign w:val="center"/>
                </w:tcPr>
                <w:p w14:paraId="002E1B84">
                  <w:pPr>
                    <w:pStyle w:val="28"/>
                    <w:keepNext w:val="0"/>
                    <w:keepLines w:val="0"/>
                    <w:widowControl w:val="0"/>
                    <w:suppressLineNumbers w:val="0"/>
                    <w:autoSpaceDE w:val="0"/>
                    <w:autoSpaceDN w:val="0"/>
                    <w:adjustRightInd w:val="0"/>
                    <w:spacing w:before="0" w:beforeAutospacing="0" w:after="0" w:afterAutospacing="0"/>
                    <w:ind w:left="0" w:right="0" w:firstLine="0"/>
                    <w:jc w:val="left"/>
                    <w:textAlignment w:val="baseline"/>
                    <w:rPr>
                      <w:rFonts w:hint="default" w:ascii="Times New Roman" w:hAnsi="Times New Roman" w:eastAsia="宋体" w:cs="Times New Roman"/>
                      <w:bCs w:val="0"/>
                      <w:color w:val="auto"/>
                      <w:kern w:val="0"/>
                      <w:sz w:val="21"/>
                      <w:szCs w:val="21"/>
                      <w:highlight w:val="none"/>
                      <w:vertAlign w:val="baseline"/>
                      <w:lang w:val="en-US" w:eastAsia="zh-CN"/>
                    </w:rPr>
                  </w:pPr>
                  <w:r>
                    <w:rPr>
                      <w:rFonts w:hint="default" w:ascii="Times New Roman" w:hAnsi="Times New Roman" w:eastAsia="宋体" w:cs="Times New Roman"/>
                      <w:bCs w:val="0"/>
                      <w:color w:val="auto"/>
                      <w:kern w:val="0"/>
                      <w:sz w:val="21"/>
                      <w:szCs w:val="21"/>
                      <w:highlight w:val="none"/>
                      <w:vertAlign w:val="baseline"/>
                      <w:lang w:val="en-US" w:eastAsia="zh-CN" w:bidi="ar"/>
                    </w:rPr>
                    <w:t>无法密闭投加的，应在密闭空间内操作，或进行局部气体收集，废气应排至VOCs废气收集处理系统。</w:t>
                  </w:r>
                </w:p>
              </w:tc>
              <w:tc>
                <w:tcPr>
                  <w:tcW w:w="1277" w:type="pct"/>
                  <w:tcBorders>
                    <w:top w:val="nil"/>
                    <w:left w:val="nil"/>
                    <w:bottom w:val="single" w:color="auto" w:sz="4" w:space="0"/>
                    <w:right w:val="single" w:color="auto" w:sz="4" w:space="0"/>
                  </w:tcBorders>
                  <w:noWrap w:val="0"/>
                  <w:vAlign w:val="center"/>
                </w:tcPr>
                <w:p w14:paraId="5F89B0CE">
                  <w:pPr>
                    <w:keepNext w:val="0"/>
                    <w:keepLines w:val="0"/>
                    <w:widowControl w:val="0"/>
                    <w:suppressLineNumbers w:val="0"/>
                    <w:autoSpaceDE w:val="0"/>
                    <w:autoSpaceDN w:val="0"/>
                    <w:adjustRightInd w:val="0"/>
                    <w:snapToGrid w:val="0"/>
                    <w:spacing w:before="0" w:beforeAutospacing="0" w:after="0" w:afterAutospacing="0"/>
                    <w:ind w:left="0" w:right="0"/>
                    <w:jc w:val="both"/>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bidi="ar"/>
                    </w:rPr>
                    <w:t>废气使用高效集气罩收集后经两级活性炭处理后引至15m排气筒排放。</w:t>
                  </w:r>
                </w:p>
              </w:tc>
            </w:tr>
            <w:tr w14:paraId="53559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0" w:type="pct"/>
                  <w:vMerge w:val="continue"/>
                  <w:tcBorders>
                    <w:top w:val="nil"/>
                    <w:left w:val="single" w:color="auto" w:sz="4" w:space="0"/>
                    <w:bottom w:val="single" w:color="auto" w:sz="4" w:space="0"/>
                    <w:right w:val="single" w:color="auto" w:sz="4" w:space="0"/>
                  </w:tcBorders>
                  <w:noWrap w:val="0"/>
                  <w:vAlign w:val="center"/>
                </w:tcPr>
                <w:p w14:paraId="5CA808C1">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highlight w:val="none"/>
                      <w:lang w:val="en-US" w:eastAsia="zh-CN"/>
                    </w:rPr>
                  </w:pPr>
                </w:p>
              </w:tc>
              <w:tc>
                <w:tcPr>
                  <w:tcW w:w="520" w:type="pct"/>
                  <w:tcBorders>
                    <w:top w:val="single" w:color="auto" w:sz="4" w:space="0"/>
                    <w:left w:val="nil"/>
                    <w:bottom w:val="single" w:color="auto" w:sz="4" w:space="0"/>
                    <w:right w:val="single" w:color="auto" w:sz="4" w:space="0"/>
                  </w:tcBorders>
                  <w:noWrap w:val="0"/>
                  <w:vAlign w:val="center"/>
                </w:tcPr>
                <w:p w14:paraId="188A4609">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其他要求</w:t>
                  </w:r>
                </w:p>
              </w:tc>
              <w:tc>
                <w:tcPr>
                  <w:tcW w:w="2680" w:type="pct"/>
                  <w:gridSpan w:val="2"/>
                  <w:tcBorders>
                    <w:top w:val="single" w:color="auto" w:sz="4" w:space="0"/>
                    <w:left w:val="nil"/>
                    <w:bottom w:val="single" w:color="auto" w:sz="4" w:space="0"/>
                    <w:right w:val="single" w:color="auto" w:sz="4" w:space="0"/>
                  </w:tcBorders>
                  <w:noWrap w:val="0"/>
                  <w:vAlign w:val="center"/>
                </w:tcPr>
                <w:p w14:paraId="5A1526DC">
                  <w:pPr>
                    <w:keepNext w:val="0"/>
                    <w:keepLines w:val="0"/>
                    <w:widowControl w:val="0"/>
                    <w:suppressLineNumbers w:val="0"/>
                    <w:autoSpaceDE w:val="0"/>
                    <w:autoSpaceDN w:val="0"/>
                    <w:adjustRightInd w:val="0"/>
                    <w:snapToGrid w:val="0"/>
                    <w:spacing w:before="0" w:beforeAutospacing="0" w:after="0" w:afterAutospacing="0"/>
                    <w:ind w:left="0" w:right="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、企业应建立</w:t>
                  </w:r>
                  <w:r>
                    <w:rPr>
                      <w:rFonts w:hint="eastAsia" w:ascii="宋体" w:hAnsi="宋体" w:cs="宋体"/>
                      <w:color w:val="auto"/>
                      <w:kern w:val="0"/>
                      <w:sz w:val="21"/>
                      <w:szCs w:val="21"/>
                      <w:highlight w:val="none"/>
                      <w:lang w:val="en-US" w:eastAsia="zh-CN" w:bidi="ar"/>
                    </w:rPr>
                    <w:t>台账</w:t>
                  </w:r>
                  <w:r>
                    <w:rPr>
                      <w:rFonts w:hint="eastAsia" w:ascii="宋体" w:hAnsi="宋体" w:eastAsia="宋体" w:cs="宋体"/>
                      <w:color w:val="auto"/>
                      <w:kern w:val="0"/>
                      <w:sz w:val="21"/>
                      <w:szCs w:val="21"/>
                      <w:highlight w:val="none"/>
                      <w:lang w:val="en-US" w:eastAsia="zh-CN" w:bidi="ar"/>
                    </w:rPr>
                    <w:t>，记录含</w:t>
                  </w:r>
                  <w:r>
                    <w:rPr>
                      <w:rFonts w:hint="default" w:ascii="Times New Roman" w:hAnsi="Times New Roman" w:eastAsia="宋体" w:cs="Times New Roman"/>
                      <w:color w:val="auto"/>
                      <w:kern w:val="0"/>
                      <w:sz w:val="21"/>
                      <w:szCs w:val="21"/>
                      <w:highlight w:val="none"/>
                      <w:lang w:val="en-US" w:eastAsia="zh-CN" w:bidi="ar"/>
                    </w:rPr>
                    <w:t>VOCs</w:t>
                  </w:r>
                  <w:r>
                    <w:rPr>
                      <w:rFonts w:hint="eastAsia" w:ascii="宋体" w:hAnsi="宋体" w:eastAsia="宋体" w:cs="宋体"/>
                      <w:color w:val="auto"/>
                      <w:kern w:val="0"/>
                      <w:sz w:val="21"/>
                      <w:szCs w:val="21"/>
                      <w:highlight w:val="none"/>
                      <w:lang w:val="en-US" w:eastAsia="zh-CN" w:bidi="ar"/>
                    </w:rPr>
                    <w:t>原辅材料和含</w:t>
                  </w:r>
                  <w:r>
                    <w:rPr>
                      <w:rFonts w:hint="default" w:ascii="Times New Roman" w:hAnsi="Times New Roman" w:eastAsia="宋体" w:cs="Times New Roman"/>
                      <w:color w:val="auto"/>
                      <w:kern w:val="0"/>
                      <w:sz w:val="21"/>
                      <w:szCs w:val="21"/>
                      <w:highlight w:val="none"/>
                      <w:lang w:val="en-US" w:eastAsia="zh-CN" w:bidi="ar"/>
                    </w:rPr>
                    <w:t>VOCs</w:t>
                  </w:r>
                  <w:r>
                    <w:rPr>
                      <w:rFonts w:hint="eastAsia" w:ascii="宋体" w:hAnsi="宋体" w:eastAsia="宋体" w:cs="宋体"/>
                      <w:color w:val="auto"/>
                      <w:kern w:val="0"/>
                      <w:sz w:val="21"/>
                      <w:szCs w:val="21"/>
                      <w:highlight w:val="none"/>
                      <w:lang w:val="en-US" w:eastAsia="zh-CN" w:bidi="ar"/>
                    </w:rPr>
                    <w:t>产品的名称、使用量、回收量、废气量、去向以及</w:t>
                  </w:r>
                  <w:r>
                    <w:rPr>
                      <w:rFonts w:hint="default" w:ascii="Times New Roman" w:hAnsi="Times New Roman" w:eastAsia="宋体" w:cs="Times New Roman"/>
                      <w:color w:val="auto"/>
                      <w:kern w:val="0"/>
                      <w:sz w:val="21"/>
                      <w:szCs w:val="21"/>
                      <w:highlight w:val="none"/>
                      <w:lang w:val="en-US" w:eastAsia="zh-CN" w:bidi="ar"/>
                    </w:rPr>
                    <w:t>VOCs</w:t>
                  </w:r>
                  <w:r>
                    <w:rPr>
                      <w:rFonts w:hint="eastAsia" w:ascii="宋体" w:hAnsi="宋体" w:eastAsia="宋体" w:cs="宋体"/>
                      <w:color w:val="auto"/>
                      <w:kern w:val="0"/>
                      <w:sz w:val="21"/>
                      <w:szCs w:val="21"/>
                      <w:highlight w:val="none"/>
                      <w:lang w:val="en-US" w:eastAsia="zh-CN" w:bidi="ar"/>
                    </w:rPr>
                    <w:t>含量等信息。</w:t>
                  </w:r>
                  <w:r>
                    <w:rPr>
                      <w:rFonts w:hint="eastAsia" w:ascii="宋体" w:hAnsi="宋体" w:cs="宋体"/>
                      <w:color w:val="auto"/>
                      <w:kern w:val="0"/>
                      <w:sz w:val="21"/>
                      <w:szCs w:val="21"/>
                      <w:highlight w:val="none"/>
                      <w:lang w:val="en-US" w:eastAsia="zh-CN" w:bidi="ar"/>
                    </w:rPr>
                    <w:t>台账</w:t>
                  </w:r>
                  <w:r>
                    <w:rPr>
                      <w:rFonts w:hint="eastAsia" w:ascii="宋体" w:hAnsi="宋体" w:eastAsia="宋体" w:cs="宋体"/>
                      <w:color w:val="auto"/>
                      <w:kern w:val="0"/>
                      <w:sz w:val="21"/>
                      <w:szCs w:val="21"/>
                      <w:highlight w:val="none"/>
                      <w:lang w:val="en-US" w:eastAsia="zh-CN" w:bidi="ar"/>
                    </w:rPr>
                    <w:t>保存期限不少于</w:t>
                  </w: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年。</w:t>
                  </w: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、工艺过程产生的含</w:t>
                  </w:r>
                  <w:r>
                    <w:rPr>
                      <w:rFonts w:hint="default" w:ascii="Times New Roman" w:hAnsi="Times New Roman" w:eastAsia="宋体" w:cs="Times New Roman"/>
                      <w:color w:val="auto"/>
                      <w:kern w:val="0"/>
                      <w:sz w:val="21"/>
                      <w:szCs w:val="21"/>
                      <w:highlight w:val="none"/>
                      <w:lang w:val="en-US" w:eastAsia="zh-CN" w:bidi="ar"/>
                    </w:rPr>
                    <w:t>VOCs</w:t>
                  </w:r>
                  <w:r>
                    <w:rPr>
                      <w:rFonts w:hint="eastAsia" w:ascii="宋体" w:hAnsi="宋体" w:eastAsia="宋体" w:cs="宋体"/>
                      <w:color w:val="auto"/>
                      <w:kern w:val="0"/>
                      <w:sz w:val="21"/>
                      <w:szCs w:val="21"/>
                      <w:highlight w:val="none"/>
                      <w:lang w:val="en-US" w:eastAsia="zh-CN" w:bidi="ar"/>
                    </w:rPr>
                    <w:t>废料（渣、液）应按要求进行储存、转移和输送。盛装过</w:t>
                  </w:r>
                  <w:r>
                    <w:rPr>
                      <w:rFonts w:hint="default" w:ascii="Times New Roman" w:hAnsi="Times New Roman" w:eastAsia="宋体" w:cs="Times New Roman"/>
                      <w:color w:val="auto"/>
                      <w:kern w:val="0"/>
                      <w:sz w:val="21"/>
                      <w:szCs w:val="21"/>
                      <w:highlight w:val="none"/>
                      <w:lang w:val="en-US" w:eastAsia="zh-CN" w:bidi="ar"/>
                    </w:rPr>
                    <w:t>VOCs</w:t>
                  </w:r>
                  <w:r>
                    <w:rPr>
                      <w:rFonts w:hint="eastAsia" w:ascii="宋体" w:hAnsi="宋体" w:eastAsia="宋体" w:cs="宋体"/>
                      <w:color w:val="auto"/>
                      <w:kern w:val="0"/>
                      <w:sz w:val="21"/>
                      <w:szCs w:val="21"/>
                      <w:highlight w:val="none"/>
                      <w:lang w:val="en-US" w:eastAsia="zh-CN" w:bidi="ar"/>
                    </w:rPr>
                    <w:t>物料的废包装容器应加盖密闭。</w:t>
                  </w:r>
                </w:p>
              </w:tc>
              <w:tc>
                <w:tcPr>
                  <w:tcW w:w="1277" w:type="pct"/>
                  <w:tcBorders>
                    <w:top w:val="nil"/>
                    <w:left w:val="nil"/>
                    <w:bottom w:val="single" w:color="auto" w:sz="4" w:space="0"/>
                    <w:right w:val="single" w:color="auto" w:sz="4" w:space="0"/>
                  </w:tcBorders>
                  <w:noWrap w:val="0"/>
                  <w:vAlign w:val="center"/>
                </w:tcPr>
                <w:p w14:paraId="0D73B5FA">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b w:val="0"/>
                      <w:bCs w:val="0"/>
                      <w:color w:val="auto"/>
                      <w:kern w:val="0"/>
                      <w:sz w:val="21"/>
                      <w:szCs w:val="21"/>
                      <w:highlight w:val="none"/>
                      <w:lang w:val="en-US" w:eastAsia="zh-CN" w:bidi="ar"/>
                    </w:rPr>
                    <w:t>本项目属于《固定污染源排污许可分类管理名录（2019年版）》中的排污许可</w:t>
                  </w:r>
                  <w:r>
                    <w:rPr>
                      <w:rFonts w:hint="eastAsia" w:cs="Times New Roman"/>
                      <w:b w:val="0"/>
                      <w:bCs w:val="0"/>
                      <w:color w:val="auto"/>
                      <w:kern w:val="0"/>
                      <w:sz w:val="21"/>
                      <w:szCs w:val="21"/>
                      <w:highlight w:val="none"/>
                      <w:lang w:val="en-US" w:eastAsia="zh-CN" w:bidi="ar"/>
                    </w:rPr>
                    <w:t>简化</w:t>
                  </w:r>
                  <w:r>
                    <w:rPr>
                      <w:rFonts w:hint="eastAsia" w:ascii="Times New Roman" w:hAnsi="Times New Roman" w:eastAsia="宋体" w:cs="Times New Roman"/>
                      <w:b w:val="0"/>
                      <w:bCs w:val="0"/>
                      <w:color w:val="auto"/>
                      <w:kern w:val="0"/>
                      <w:sz w:val="21"/>
                      <w:szCs w:val="21"/>
                      <w:highlight w:val="none"/>
                      <w:lang w:val="en-US" w:eastAsia="zh-CN" w:bidi="ar"/>
                    </w:rPr>
                    <w:t>管理类别，根据《排污许可管理办法》（生态环境部令第32号），排污单位应当按照排污许可证规定的格式、内容和频次要求记录环境管理台账，环境管理台账记录保存期限不得少于5年。</w:t>
                  </w:r>
                </w:p>
              </w:tc>
            </w:tr>
            <w:tr w14:paraId="6355E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0" w:type="pct"/>
                  <w:vMerge w:val="restart"/>
                  <w:tcBorders>
                    <w:top w:val="nil"/>
                    <w:left w:val="single" w:color="auto" w:sz="4" w:space="0"/>
                    <w:bottom w:val="single" w:color="auto" w:sz="4" w:space="0"/>
                    <w:right w:val="single" w:color="auto" w:sz="4" w:space="0"/>
                  </w:tcBorders>
                  <w:noWrap w:val="0"/>
                  <w:vAlign w:val="center"/>
                </w:tcPr>
                <w:p w14:paraId="66627DA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
                    </w:rPr>
                    <w:t>VOCs</w:t>
                  </w:r>
                  <w:r>
                    <w:rPr>
                      <w:rFonts w:hint="eastAsia" w:ascii="宋体" w:hAnsi="宋体" w:eastAsia="宋体" w:cs="宋体"/>
                      <w:color w:val="auto"/>
                      <w:kern w:val="2"/>
                      <w:sz w:val="21"/>
                      <w:szCs w:val="21"/>
                      <w:highlight w:val="none"/>
                      <w:lang w:val="en-US" w:eastAsia="zh-CN" w:bidi="ar"/>
                    </w:rPr>
                    <w:t>无组织废气收集处理系统</w:t>
                  </w:r>
                </w:p>
              </w:tc>
              <w:tc>
                <w:tcPr>
                  <w:tcW w:w="520" w:type="pct"/>
                  <w:tcBorders>
                    <w:top w:val="single" w:color="auto" w:sz="4" w:space="0"/>
                    <w:left w:val="nil"/>
                    <w:bottom w:val="single" w:color="auto" w:sz="4" w:space="0"/>
                    <w:right w:val="single" w:color="auto" w:sz="4" w:space="0"/>
                  </w:tcBorders>
                  <w:noWrap w:val="0"/>
                  <w:vAlign w:val="center"/>
                </w:tcPr>
                <w:p w14:paraId="27A185A2">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基本要求</w:t>
                  </w:r>
                </w:p>
              </w:tc>
              <w:tc>
                <w:tcPr>
                  <w:tcW w:w="2680" w:type="pct"/>
                  <w:gridSpan w:val="2"/>
                  <w:tcBorders>
                    <w:top w:val="single" w:color="auto" w:sz="4" w:space="0"/>
                    <w:left w:val="nil"/>
                    <w:bottom w:val="single" w:color="auto" w:sz="4" w:space="0"/>
                    <w:right w:val="single" w:color="auto" w:sz="4" w:space="0"/>
                  </w:tcBorders>
                  <w:noWrap w:val="0"/>
                  <w:vAlign w:val="center"/>
                </w:tcPr>
                <w:p w14:paraId="249AEC64">
                  <w:pPr>
                    <w:keepNext w:val="0"/>
                    <w:keepLines w:val="0"/>
                    <w:widowControl w:val="0"/>
                    <w:suppressLineNumbers w:val="0"/>
                    <w:autoSpaceDE w:val="0"/>
                    <w:autoSpaceDN w:val="0"/>
                    <w:adjustRightInd w:val="0"/>
                    <w:snapToGrid w:val="0"/>
                    <w:spacing w:before="0" w:beforeAutospacing="0" w:after="0" w:afterAutospacing="0"/>
                    <w:ind w:left="0" w:right="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ar"/>
                    </w:rPr>
                    <w:t>VOCs</w:t>
                  </w:r>
                  <w:r>
                    <w:rPr>
                      <w:rFonts w:hint="eastAsia" w:ascii="宋体" w:hAnsi="宋体" w:eastAsia="宋体" w:cs="宋体"/>
                      <w:color w:val="auto"/>
                      <w:kern w:val="0"/>
                      <w:sz w:val="21"/>
                      <w:szCs w:val="21"/>
                      <w:highlight w:val="none"/>
                      <w:lang w:val="en-US" w:eastAsia="zh-CN" w:bidi="ar"/>
                    </w:rPr>
                    <w:t>废气收集处理系统与生产工艺设备同步运行。</w:t>
                  </w:r>
                  <w:r>
                    <w:rPr>
                      <w:rFonts w:hint="default" w:ascii="Times New Roman" w:hAnsi="Times New Roman" w:eastAsia="宋体" w:cs="Times New Roman"/>
                      <w:color w:val="auto"/>
                      <w:kern w:val="0"/>
                      <w:sz w:val="21"/>
                      <w:szCs w:val="21"/>
                      <w:highlight w:val="none"/>
                      <w:lang w:val="en-US" w:eastAsia="zh-CN" w:bidi="ar"/>
                    </w:rPr>
                    <w:t>VOCs</w:t>
                  </w:r>
                  <w:r>
                    <w:rPr>
                      <w:rFonts w:hint="eastAsia" w:ascii="宋体" w:hAnsi="宋体" w:eastAsia="宋体" w:cs="宋体"/>
                      <w:color w:val="auto"/>
                      <w:kern w:val="0"/>
                      <w:sz w:val="21"/>
                      <w:szCs w:val="21"/>
                      <w:highlight w:val="none"/>
                      <w:lang w:val="en-US" w:eastAsia="zh-CN" w:bidi="ar"/>
                    </w:rPr>
                    <w:t>废气收集处理系统发生故障或检修时，对应的生产工艺设备应停止运行，待检修完毕后同步投入使用；生产工艺设备不能停止运行或不能及时停止运行的，应设置废气应急处理设施或采取其他替代措施。</w:t>
                  </w:r>
                </w:p>
              </w:tc>
              <w:tc>
                <w:tcPr>
                  <w:tcW w:w="1277" w:type="pct"/>
                  <w:tcBorders>
                    <w:top w:val="single" w:color="auto" w:sz="4" w:space="0"/>
                    <w:left w:val="nil"/>
                    <w:bottom w:val="single" w:color="auto" w:sz="4" w:space="0"/>
                    <w:right w:val="single" w:color="auto" w:sz="4" w:space="0"/>
                  </w:tcBorders>
                  <w:noWrap w:val="0"/>
                  <w:vAlign w:val="center"/>
                </w:tcPr>
                <w:p w14:paraId="6FBC0DA8">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bidi="ar"/>
                    </w:rPr>
                    <w:t>本评价要求</w:t>
                  </w:r>
                  <w:r>
                    <w:rPr>
                      <w:rFonts w:hint="default" w:ascii="Times New Roman" w:hAnsi="Times New Roman" w:eastAsia="宋体" w:cs="Times New Roman"/>
                      <w:color w:val="auto"/>
                      <w:kern w:val="2"/>
                      <w:sz w:val="21"/>
                      <w:szCs w:val="21"/>
                      <w:highlight w:val="none"/>
                      <w:lang w:val="en-US" w:eastAsia="zh-CN" w:bidi="ar"/>
                    </w:rPr>
                    <w:t>VOCs</w:t>
                  </w:r>
                  <w:r>
                    <w:rPr>
                      <w:rFonts w:hint="eastAsia" w:ascii="宋体" w:hAnsi="宋体" w:eastAsia="宋体" w:cs="宋体"/>
                      <w:color w:val="auto"/>
                      <w:kern w:val="2"/>
                      <w:sz w:val="21"/>
                      <w:szCs w:val="21"/>
                      <w:highlight w:val="none"/>
                      <w:lang w:val="en-US" w:eastAsia="zh-CN" w:bidi="ar"/>
                    </w:rPr>
                    <w:t>废气收集处理系统与生产工艺设备同步运行；若废气处理系统发生故障或检修时，停止作业。</w:t>
                  </w:r>
                </w:p>
              </w:tc>
            </w:tr>
            <w:tr w14:paraId="32DAB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0" w:type="pct"/>
                  <w:vMerge w:val="continue"/>
                  <w:tcBorders>
                    <w:top w:val="nil"/>
                    <w:left w:val="single" w:color="auto" w:sz="4" w:space="0"/>
                    <w:bottom w:val="single" w:color="auto" w:sz="4" w:space="0"/>
                    <w:right w:val="single" w:color="auto" w:sz="4" w:space="0"/>
                  </w:tcBorders>
                  <w:noWrap w:val="0"/>
                  <w:vAlign w:val="center"/>
                </w:tcPr>
                <w:p w14:paraId="021B4340">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highlight w:val="none"/>
                      <w:lang w:val="en-US" w:eastAsia="zh-CN"/>
                    </w:rPr>
                  </w:pPr>
                </w:p>
              </w:tc>
              <w:tc>
                <w:tcPr>
                  <w:tcW w:w="520" w:type="pct"/>
                  <w:tcBorders>
                    <w:top w:val="single" w:color="auto" w:sz="4" w:space="0"/>
                    <w:left w:val="nil"/>
                    <w:bottom w:val="single" w:color="auto" w:sz="4" w:space="0"/>
                    <w:right w:val="single" w:color="auto" w:sz="4" w:space="0"/>
                  </w:tcBorders>
                  <w:noWrap w:val="0"/>
                  <w:vAlign w:val="center"/>
                </w:tcPr>
                <w:p w14:paraId="03846514">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ar"/>
                    </w:rPr>
                    <w:t>VOCs</w:t>
                  </w:r>
                  <w:r>
                    <w:rPr>
                      <w:rFonts w:hint="eastAsia" w:ascii="宋体" w:hAnsi="宋体" w:eastAsia="宋体" w:cs="宋体"/>
                      <w:color w:val="auto"/>
                      <w:kern w:val="0"/>
                      <w:sz w:val="21"/>
                      <w:szCs w:val="21"/>
                      <w:highlight w:val="none"/>
                      <w:lang w:val="en-US" w:eastAsia="zh-CN" w:bidi="ar"/>
                    </w:rPr>
                    <w:t>排放控制要求</w:t>
                  </w:r>
                </w:p>
              </w:tc>
              <w:tc>
                <w:tcPr>
                  <w:tcW w:w="2680" w:type="pct"/>
                  <w:gridSpan w:val="2"/>
                  <w:tcBorders>
                    <w:top w:val="single" w:color="auto" w:sz="4" w:space="0"/>
                    <w:left w:val="nil"/>
                    <w:bottom w:val="single" w:color="auto" w:sz="4" w:space="0"/>
                    <w:right w:val="single" w:color="auto" w:sz="4" w:space="0"/>
                  </w:tcBorders>
                  <w:noWrap w:val="0"/>
                  <w:vAlign w:val="center"/>
                </w:tcPr>
                <w:p w14:paraId="27B0EDA1">
                  <w:pPr>
                    <w:keepNext w:val="0"/>
                    <w:keepLines w:val="0"/>
                    <w:widowControl w:val="0"/>
                    <w:suppressLineNumbers w:val="0"/>
                    <w:autoSpaceDE w:val="0"/>
                    <w:autoSpaceDN w:val="0"/>
                    <w:adjustRightInd w:val="0"/>
                    <w:snapToGrid w:val="0"/>
                    <w:spacing w:before="0" w:beforeAutospacing="0" w:after="0" w:afterAutospacing="0"/>
                    <w:ind w:left="0" w:right="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、排气筒高度不低于</w:t>
                  </w:r>
                  <w:r>
                    <w:rPr>
                      <w:rFonts w:hint="default" w:ascii="Times New Roman" w:hAnsi="Times New Roman" w:eastAsia="宋体" w:cs="Times New Roman"/>
                      <w:color w:val="auto"/>
                      <w:kern w:val="0"/>
                      <w:sz w:val="21"/>
                      <w:szCs w:val="21"/>
                      <w:highlight w:val="none"/>
                      <w:lang w:val="en-US" w:eastAsia="zh-CN" w:bidi="ar"/>
                    </w:rPr>
                    <w:t>15m</w:t>
                  </w:r>
                  <w:r>
                    <w:rPr>
                      <w:rFonts w:hint="eastAsia" w:ascii="宋体" w:hAnsi="宋体" w:eastAsia="宋体" w:cs="宋体"/>
                      <w:color w:val="auto"/>
                      <w:kern w:val="0"/>
                      <w:sz w:val="21"/>
                      <w:szCs w:val="21"/>
                      <w:highlight w:val="none"/>
                      <w:lang w:val="en-US" w:eastAsia="zh-CN" w:bidi="ar"/>
                    </w:rPr>
                    <w:t>（因安全考虑或有特殊工艺要求的除外），具体高度以及与周围建筑物的相对高速关系应根据环境影响评价文件确定。</w:t>
                  </w: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、当执行不同排放控制要求的废气合并排气筒排放时，应在废气混合前进行监测，并执行相应的排放控制要求；若可选择的监控位置只能对混合后的废气进行检测，则应按各排放控制要求中最严格的规定执行。</w:t>
                  </w:r>
                </w:p>
              </w:tc>
              <w:tc>
                <w:tcPr>
                  <w:tcW w:w="1277" w:type="pct"/>
                  <w:tcBorders>
                    <w:top w:val="nil"/>
                    <w:left w:val="nil"/>
                    <w:bottom w:val="single" w:color="auto" w:sz="4" w:space="0"/>
                    <w:right w:val="single" w:color="auto" w:sz="4" w:space="0"/>
                  </w:tcBorders>
                  <w:noWrap w:val="0"/>
                  <w:vAlign w:val="center"/>
                </w:tcPr>
                <w:p w14:paraId="04521184">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bidi="ar"/>
                    </w:rPr>
                    <w:t>项目产生的有机废气集中收集</w:t>
                  </w:r>
                  <w:r>
                    <w:rPr>
                      <w:rFonts w:hint="eastAsia" w:ascii="宋体" w:hAnsi="宋体" w:cs="宋体"/>
                      <w:color w:val="auto"/>
                      <w:kern w:val="2"/>
                      <w:sz w:val="21"/>
                      <w:szCs w:val="21"/>
                      <w:highlight w:val="none"/>
                      <w:lang w:val="en-US" w:eastAsia="zh-CN" w:bidi="ar"/>
                    </w:rPr>
                    <w:t>经两级活性炭处理后</w:t>
                  </w:r>
                  <w:r>
                    <w:rPr>
                      <w:rFonts w:hint="eastAsia" w:ascii="宋体" w:hAnsi="宋体" w:eastAsia="宋体" w:cs="宋体"/>
                      <w:color w:val="auto"/>
                      <w:kern w:val="2"/>
                      <w:sz w:val="21"/>
                      <w:szCs w:val="21"/>
                      <w:highlight w:val="none"/>
                      <w:lang w:val="en-US" w:eastAsia="zh-CN" w:bidi="ar"/>
                    </w:rPr>
                    <w:t>引至</w:t>
                  </w:r>
                  <w:r>
                    <w:rPr>
                      <w:rFonts w:hint="eastAsia" w:ascii="宋体" w:hAnsi="宋体" w:cs="宋体"/>
                      <w:color w:val="auto"/>
                      <w:kern w:val="2"/>
                      <w:sz w:val="21"/>
                      <w:szCs w:val="21"/>
                      <w:highlight w:val="none"/>
                      <w:lang w:val="en-US" w:eastAsia="zh-CN" w:bidi="ar"/>
                    </w:rPr>
                    <w:t>15m排气筒排放</w:t>
                  </w:r>
                  <w:r>
                    <w:rPr>
                      <w:rFonts w:hint="eastAsia" w:ascii="Times New Roman" w:hAnsi="Times New Roman" w:eastAsia="宋体" w:cs="Times New Roman"/>
                      <w:color w:val="auto"/>
                      <w:kern w:val="2"/>
                      <w:sz w:val="21"/>
                      <w:szCs w:val="21"/>
                      <w:highlight w:val="none"/>
                      <w:lang w:val="en-US" w:eastAsia="zh-CN" w:bidi="ar"/>
                    </w:rPr>
                    <w:t>。</w:t>
                  </w:r>
                </w:p>
              </w:tc>
            </w:tr>
            <w:tr w14:paraId="55299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2" w:hRule="atLeast"/>
              </w:trPr>
              <w:tc>
                <w:tcPr>
                  <w:tcW w:w="520" w:type="pct"/>
                  <w:vMerge w:val="continue"/>
                  <w:tcBorders>
                    <w:top w:val="nil"/>
                    <w:left w:val="single" w:color="auto" w:sz="4" w:space="0"/>
                    <w:bottom w:val="single" w:color="auto" w:sz="4" w:space="0"/>
                    <w:right w:val="single" w:color="auto" w:sz="4" w:space="0"/>
                  </w:tcBorders>
                  <w:noWrap w:val="0"/>
                  <w:vAlign w:val="center"/>
                </w:tcPr>
                <w:p w14:paraId="5059B8A6">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highlight w:val="none"/>
                      <w:lang w:val="en-US" w:eastAsia="zh-CN"/>
                    </w:rPr>
                  </w:pPr>
                </w:p>
              </w:tc>
              <w:tc>
                <w:tcPr>
                  <w:tcW w:w="520" w:type="pct"/>
                  <w:tcBorders>
                    <w:top w:val="single" w:color="auto" w:sz="4" w:space="0"/>
                    <w:left w:val="nil"/>
                    <w:bottom w:val="single" w:color="auto" w:sz="4" w:space="0"/>
                    <w:right w:val="single" w:color="auto" w:sz="4" w:space="0"/>
                  </w:tcBorders>
                  <w:noWrap w:val="0"/>
                  <w:vAlign w:val="center"/>
                </w:tcPr>
                <w:p w14:paraId="53A2B4CF">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记录要求</w:t>
                  </w:r>
                </w:p>
              </w:tc>
              <w:tc>
                <w:tcPr>
                  <w:tcW w:w="2680" w:type="pct"/>
                  <w:gridSpan w:val="2"/>
                  <w:tcBorders>
                    <w:top w:val="single" w:color="auto" w:sz="4" w:space="0"/>
                    <w:left w:val="nil"/>
                    <w:bottom w:val="single" w:color="auto" w:sz="4" w:space="0"/>
                    <w:right w:val="single" w:color="auto" w:sz="4" w:space="0"/>
                  </w:tcBorders>
                  <w:noWrap w:val="0"/>
                  <w:vAlign w:val="center"/>
                </w:tcPr>
                <w:p w14:paraId="7EE589B4">
                  <w:pPr>
                    <w:keepNext w:val="0"/>
                    <w:keepLines w:val="0"/>
                    <w:widowControl w:val="0"/>
                    <w:suppressLineNumbers w:val="0"/>
                    <w:autoSpaceDE w:val="0"/>
                    <w:autoSpaceDN w:val="0"/>
                    <w:adjustRightInd w:val="0"/>
                    <w:snapToGrid w:val="0"/>
                    <w:spacing w:before="0" w:beforeAutospacing="0" w:after="0" w:afterAutospacing="0"/>
                    <w:ind w:left="0" w:right="0"/>
                    <w:jc w:val="left"/>
                    <w:rPr>
                      <w:rFonts w:hint="default" w:ascii="Times New Roman" w:hAnsi="Times New Roman" w:eastAsia="宋体" w:cs="Times New Roman"/>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企业应建立</w:t>
                  </w:r>
                  <w:r>
                    <w:rPr>
                      <w:rFonts w:hint="eastAsia" w:ascii="宋体" w:hAnsi="宋体" w:cs="宋体"/>
                      <w:color w:val="auto"/>
                      <w:kern w:val="0"/>
                      <w:sz w:val="21"/>
                      <w:szCs w:val="21"/>
                      <w:highlight w:val="none"/>
                      <w:lang w:val="en-US" w:eastAsia="zh-CN" w:bidi="ar"/>
                    </w:rPr>
                    <w:t>台账</w:t>
                  </w:r>
                  <w:r>
                    <w:rPr>
                      <w:rFonts w:hint="eastAsia" w:ascii="宋体" w:hAnsi="宋体" w:eastAsia="宋体" w:cs="宋体"/>
                      <w:color w:val="auto"/>
                      <w:kern w:val="0"/>
                      <w:sz w:val="21"/>
                      <w:szCs w:val="21"/>
                      <w:highlight w:val="none"/>
                      <w:lang w:val="en-US" w:eastAsia="zh-CN" w:bidi="ar"/>
                    </w:rPr>
                    <w:t>，记录废气收集系统、</w:t>
                  </w:r>
                  <w:r>
                    <w:rPr>
                      <w:rFonts w:hint="default" w:ascii="Times New Roman" w:hAnsi="Times New Roman" w:eastAsia="宋体" w:cs="Times New Roman"/>
                      <w:color w:val="auto"/>
                      <w:kern w:val="0"/>
                      <w:sz w:val="21"/>
                      <w:szCs w:val="21"/>
                      <w:highlight w:val="none"/>
                      <w:lang w:val="en-US" w:eastAsia="zh-CN" w:bidi="ar"/>
                    </w:rPr>
                    <w:t>VOCs</w:t>
                  </w:r>
                  <w:r>
                    <w:rPr>
                      <w:rFonts w:hint="eastAsia" w:ascii="宋体" w:hAnsi="宋体" w:eastAsia="宋体" w:cs="宋体"/>
                      <w:color w:val="auto"/>
                      <w:kern w:val="0"/>
                      <w:sz w:val="21"/>
                      <w:szCs w:val="21"/>
                      <w:highlight w:val="none"/>
                      <w:lang w:val="en-US" w:eastAsia="zh-CN" w:bidi="ar"/>
                    </w:rPr>
                    <w:t>处理设施的主要运行和维护信息，如运行时间、废气处理量、操作温度、停留时间、吸附剂再生</w:t>
                  </w:r>
                  <w:r>
                    <w:rPr>
                      <w:rFonts w:hint="default" w:ascii="Times New Roman" w:hAnsi="Times New Roman" w:eastAsia="宋体" w:cs="Times New Roman"/>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更换周期和更换量、催化剂更换周期和更换量、吸附液</w:t>
                  </w:r>
                  <w:r>
                    <w:rPr>
                      <w:rFonts w:hint="default" w:ascii="Times New Roman" w:hAnsi="Times New Roman" w:eastAsia="宋体" w:cs="Times New Roman"/>
                      <w:color w:val="auto"/>
                      <w:kern w:val="0"/>
                      <w:sz w:val="21"/>
                      <w:szCs w:val="21"/>
                      <w:highlight w:val="none"/>
                      <w:lang w:val="en-US" w:eastAsia="zh-CN" w:bidi="ar"/>
                    </w:rPr>
                    <w:t>pH</w:t>
                  </w:r>
                  <w:r>
                    <w:rPr>
                      <w:rFonts w:hint="eastAsia" w:ascii="宋体" w:hAnsi="宋体" w:eastAsia="宋体" w:cs="宋体"/>
                      <w:color w:val="auto"/>
                      <w:kern w:val="0"/>
                      <w:sz w:val="21"/>
                      <w:szCs w:val="21"/>
                      <w:highlight w:val="none"/>
                      <w:lang w:val="en-US" w:eastAsia="zh-CN" w:bidi="ar"/>
                    </w:rPr>
                    <w:t>值等关键运行参数。</w:t>
                  </w:r>
                  <w:r>
                    <w:rPr>
                      <w:rFonts w:hint="eastAsia" w:ascii="宋体" w:hAnsi="宋体" w:cs="宋体"/>
                      <w:color w:val="auto"/>
                      <w:kern w:val="0"/>
                      <w:sz w:val="21"/>
                      <w:szCs w:val="21"/>
                      <w:highlight w:val="none"/>
                      <w:lang w:val="en-US" w:eastAsia="zh-CN" w:bidi="ar"/>
                    </w:rPr>
                    <w:t>台账</w:t>
                  </w:r>
                  <w:r>
                    <w:rPr>
                      <w:rFonts w:hint="eastAsia" w:ascii="宋体" w:hAnsi="宋体" w:eastAsia="宋体" w:cs="宋体"/>
                      <w:color w:val="auto"/>
                      <w:kern w:val="0"/>
                      <w:sz w:val="21"/>
                      <w:szCs w:val="21"/>
                      <w:highlight w:val="none"/>
                      <w:lang w:val="en-US" w:eastAsia="zh-CN" w:bidi="ar"/>
                    </w:rPr>
                    <w:t>保存期限不少于</w:t>
                  </w: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年。</w:t>
                  </w:r>
                </w:p>
              </w:tc>
              <w:tc>
                <w:tcPr>
                  <w:tcW w:w="1277" w:type="pct"/>
                  <w:tcBorders>
                    <w:top w:val="nil"/>
                    <w:left w:val="nil"/>
                    <w:bottom w:val="single" w:color="auto" w:sz="4" w:space="0"/>
                    <w:right w:val="single" w:color="auto" w:sz="4" w:space="0"/>
                  </w:tcBorders>
                  <w:noWrap w:val="0"/>
                  <w:vAlign w:val="center"/>
                </w:tcPr>
                <w:p w14:paraId="3E5AD4CE">
                  <w:pPr>
                    <w:keepNext w:val="0"/>
                    <w:keepLines w:val="0"/>
                    <w:widowControl w:val="0"/>
                    <w:suppressLineNumbers w:val="0"/>
                    <w:spacing w:before="0" w:beforeAutospacing="0" w:after="0" w:afterAutospacing="0"/>
                    <w:ind w:left="0" w:right="0"/>
                    <w:jc w:val="left"/>
                    <w:rPr>
                      <w:rFonts w:hint="default" w:ascii="Times New Roman" w:hAnsi="Times New Roman" w:eastAsia="宋体" w:cs="Times New Roman"/>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bidi="ar"/>
                    </w:rPr>
                    <w:t>本评价要求企业建立</w:t>
                  </w:r>
                  <w:r>
                    <w:rPr>
                      <w:rFonts w:hint="eastAsia" w:ascii="宋体" w:hAnsi="宋体" w:cs="宋体"/>
                      <w:color w:val="auto"/>
                      <w:kern w:val="2"/>
                      <w:sz w:val="21"/>
                      <w:szCs w:val="21"/>
                      <w:highlight w:val="none"/>
                      <w:lang w:val="en-US" w:eastAsia="zh-CN" w:bidi="ar"/>
                    </w:rPr>
                    <w:t>台账</w:t>
                  </w:r>
                  <w:r>
                    <w:rPr>
                      <w:rFonts w:hint="eastAsia" w:ascii="宋体" w:hAnsi="宋体" w:eastAsia="宋体" w:cs="宋体"/>
                      <w:color w:val="auto"/>
                      <w:kern w:val="2"/>
                      <w:sz w:val="21"/>
                      <w:szCs w:val="21"/>
                      <w:highlight w:val="none"/>
                      <w:lang w:val="en-US" w:eastAsia="zh-CN" w:bidi="ar"/>
                    </w:rPr>
                    <w:t>记录相关信息并对台账保存期限不少于</w:t>
                  </w:r>
                  <w:r>
                    <w:rPr>
                      <w:rFonts w:hint="default" w:ascii="Times New Roman" w:hAnsi="Times New Roman" w:eastAsia="宋体" w:cs="Times New Roman"/>
                      <w:color w:val="auto"/>
                      <w:kern w:val="2"/>
                      <w:sz w:val="21"/>
                      <w:szCs w:val="21"/>
                      <w:highlight w:val="none"/>
                      <w:lang w:val="en-US" w:eastAsia="zh-CN" w:bidi="ar"/>
                    </w:rPr>
                    <w:t>5</w:t>
                  </w:r>
                  <w:r>
                    <w:rPr>
                      <w:rFonts w:hint="eastAsia" w:ascii="宋体" w:hAnsi="宋体" w:eastAsia="宋体" w:cs="宋体"/>
                      <w:color w:val="auto"/>
                      <w:kern w:val="2"/>
                      <w:sz w:val="21"/>
                      <w:szCs w:val="21"/>
                      <w:highlight w:val="none"/>
                      <w:lang w:val="en-US" w:eastAsia="zh-CN" w:bidi="ar"/>
                    </w:rPr>
                    <w:t>年。</w:t>
                  </w:r>
                </w:p>
              </w:tc>
            </w:tr>
            <w:tr w14:paraId="64CEE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3" w:hRule="atLeast"/>
              </w:trPr>
              <w:tc>
                <w:tcPr>
                  <w:tcW w:w="1041" w:type="pct"/>
                  <w:gridSpan w:val="2"/>
                  <w:tcBorders>
                    <w:top w:val="single" w:color="auto" w:sz="4" w:space="0"/>
                    <w:left w:val="single" w:color="auto" w:sz="4" w:space="0"/>
                    <w:bottom w:val="single" w:color="auto" w:sz="4" w:space="0"/>
                    <w:right w:val="single" w:color="auto" w:sz="4" w:space="0"/>
                  </w:tcBorders>
                  <w:noWrap w:val="0"/>
                  <w:vAlign w:val="center"/>
                </w:tcPr>
                <w:p w14:paraId="760A701C">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污染物监测要求</w:t>
                  </w:r>
                </w:p>
              </w:tc>
              <w:tc>
                <w:tcPr>
                  <w:tcW w:w="2680" w:type="pct"/>
                  <w:gridSpan w:val="2"/>
                  <w:tcBorders>
                    <w:top w:val="single" w:color="auto" w:sz="4" w:space="0"/>
                    <w:left w:val="nil"/>
                    <w:bottom w:val="single" w:color="auto" w:sz="4" w:space="0"/>
                    <w:right w:val="single" w:color="auto" w:sz="4" w:space="0"/>
                  </w:tcBorders>
                  <w:noWrap w:val="0"/>
                  <w:vAlign w:val="center"/>
                </w:tcPr>
                <w:p w14:paraId="027B4992">
                  <w:pPr>
                    <w:keepNext w:val="0"/>
                    <w:keepLines w:val="0"/>
                    <w:widowControl w:val="0"/>
                    <w:suppressLineNumbers w:val="0"/>
                    <w:autoSpaceDE w:val="0"/>
                    <w:autoSpaceDN w:val="0"/>
                    <w:adjustRightInd w:val="0"/>
                    <w:snapToGrid w:val="0"/>
                    <w:spacing w:before="0" w:beforeAutospacing="0" w:after="0" w:afterAutospacing="0"/>
                    <w:ind w:left="0" w:right="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、企业应按照有关法律、《环境监测管理办法》和</w:t>
                  </w:r>
                  <w:r>
                    <w:rPr>
                      <w:rFonts w:hint="default" w:ascii="Times New Roman" w:hAnsi="Times New Roman" w:eastAsia="宋体" w:cs="Times New Roman"/>
                      <w:color w:val="auto"/>
                      <w:kern w:val="0"/>
                      <w:sz w:val="21"/>
                      <w:szCs w:val="21"/>
                      <w:highlight w:val="none"/>
                      <w:lang w:val="en-US" w:eastAsia="zh-CN" w:bidi="ar"/>
                    </w:rPr>
                    <w:t>HJ819</w:t>
                  </w:r>
                  <w:r>
                    <w:rPr>
                      <w:rFonts w:hint="eastAsia" w:ascii="宋体" w:hAnsi="宋体" w:eastAsia="宋体" w:cs="宋体"/>
                      <w:color w:val="auto"/>
                      <w:kern w:val="0"/>
                      <w:sz w:val="21"/>
                      <w:szCs w:val="21"/>
                      <w:highlight w:val="none"/>
                      <w:lang w:val="en-US" w:eastAsia="zh-CN" w:bidi="ar"/>
                    </w:rPr>
                    <w:t>等规定，建立企业监测制度，制定企业监测方案，对污染物排放状况及其周边环境质量的影响开展自行监测，保存原始监测记录，并公布监测结果。</w:t>
                  </w: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、企业边界及周边</w:t>
                  </w:r>
                  <w:r>
                    <w:rPr>
                      <w:rFonts w:hint="default" w:ascii="Times New Roman" w:hAnsi="Times New Roman" w:eastAsia="宋体" w:cs="Times New Roman"/>
                      <w:color w:val="auto"/>
                      <w:kern w:val="0"/>
                      <w:sz w:val="21"/>
                      <w:szCs w:val="21"/>
                      <w:highlight w:val="none"/>
                      <w:lang w:val="en-US" w:eastAsia="zh-CN" w:bidi="ar"/>
                    </w:rPr>
                    <w:t>VOCs</w:t>
                  </w:r>
                  <w:r>
                    <w:rPr>
                      <w:rFonts w:hint="eastAsia" w:ascii="宋体" w:hAnsi="宋体" w:eastAsia="宋体" w:cs="宋体"/>
                      <w:color w:val="auto"/>
                      <w:kern w:val="0"/>
                      <w:sz w:val="21"/>
                      <w:szCs w:val="21"/>
                      <w:highlight w:val="none"/>
                      <w:lang w:val="en-US" w:eastAsia="zh-CN" w:bidi="ar"/>
                    </w:rPr>
                    <w:t>监测按</w:t>
                  </w:r>
                  <w:r>
                    <w:rPr>
                      <w:rFonts w:hint="default" w:ascii="Times New Roman" w:hAnsi="Times New Roman" w:eastAsia="宋体" w:cs="Times New Roman"/>
                      <w:color w:val="auto"/>
                      <w:kern w:val="0"/>
                      <w:sz w:val="21"/>
                      <w:szCs w:val="21"/>
                      <w:highlight w:val="none"/>
                      <w:lang w:val="en-US" w:eastAsia="zh-CN" w:bidi="ar"/>
                    </w:rPr>
                    <w:t>HJ/55</w:t>
                  </w:r>
                  <w:r>
                    <w:rPr>
                      <w:rFonts w:hint="eastAsia" w:ascii="宋体" w:hAnsi="宋体" w:eastAsia="宋体" w:cs="宋体"/>
                      <w:color w:val="auto"/>
                      <w:kern w:val="0"/>
                      <w:sz w:val="21"/>
                      <w:szCs w:val="21"/>
                      <w:highlight w:val="none"/>
                      <w:lang w:val="en-US" w:eastAsia="zh-CN" w:bidi="ar"/>
                    </w:rPr>
                    <w:t>的规定执行。</w:t>
                  </w:r>
                </w:p>
              </w:tc>
              <w:tc>
                <w:tcPr>
                  <w:tcW w:w="1277" w:type="pct"/>
                  <w:tcBorders>
                    <w:top w:val="single" w:color="auto" w:sz="4" w:space="0"/>
                    <w:left w:val="nil"/>
                    <w:bottom w:val="single" w:color="auto" w:sz="4" w:space="0"/>
                    <w:right w:val="single" w:color="auto" w:sz="4" w:space="0"/>
                  </w:tcBorders>
                  <w:noWrap w:val="0"/>
                  <w:vAlign w:val="center"/>
                </w:tcPr>
                <w:p w14:paraId="044176D2">
                  <w:pPr>
                    <w:keepNext w:val="0"/>
                    <w:keepLines w:val="0"/>
                    <w:widowControl w:val="0"/>
                    <w:suppressLineNumbers w:val="0"/>
                    <w:spacing w:before="0" w:beforeAutospacing="0" w:after="0" w:afterAutospacing="0"/>
                    <w:ind w:left="0" w:right="0"/>
                    <w:jc w:val="left"/>
                    <w:rPr>
                      <w:rFonts w:hint="default"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本评价要求企业落实《排污单位自行监测技术指南 印刷工业》的监测要求。</w:t>
                  </w:r>
                </w:p>
              </w:tc>
            </w:tr>
          </w:tbl>
          <w:p w14:paraId="7EF18367">
            <w:pPr>
              <w:keepNext w:val="0"/>
              <w:keepLines w:val="0"/>
              <w:suppressLineNumbers w:val="0"/>
              <w:spacing w:before="0" w:beforeAutospacing="0" w:after="0" w:afterAutospacing="0"/>
              <w:ind w:left="0" w:right="0"/>
              <w:rPr>
                <w:rFonts w:hint="default" w:ascii="Times New Roman" w:hAnsi="Times New Roman" w:cs="Times New Roman"/>
                <w:color w:val="auto"/>
                <w:highlight w:val="none"/>
                <w:vertAlign w:val="baseline"/>
              </w:rPr>
            </w:pPr>
          </w:p>
          <w:p w14:paraId="7E0DDAD2">
            <w:pPr>
              <w:keepNext w:val="0"/>
              <w:keepLines w:val="0"/>
              <w:suppressLineNumbers w:val="0"/>
              <w:spacing w:before="0" w:beforeAutospacing="0" w:after="0" w:afterAutospacing="0" w:line="360" w:lineRule="auto"/>
              <w:ind w:left="0" w:right="0" w:firstLine="420" w:firstLineChars="200"/>
              <w:outlineLvl w:val="0"/>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9</w:t>
            </w:r>
            <w:r>
              <w:rPr>
                <w:rFonts w:hint="eastAsia" w:ascii="Times New Roman" w:hAnsi="Times New Roman" w:eastAsia="宋体" w:cs="Times New Roman"/>
                <w:color w:val="auto"/>
                <w:sz w:val="21"/>
                <w:szCs w:val="21"/>
                <w:highlight w:val="none"/>
                <w:vertAlign w:val="baseline"/>
                <w:lang w:val="en-US" w:eastAsia="zh-CN"/>
              </w:rPr>
              <w:t>、</w:t>
            </w:r>
            <w:r>
              <w:rPr>
                <w:rFonts w:hint="eastAsia" w:ascii="Times New Roman" w:hAnsi="Times New Roman" w:eastAsia="宋体" w:cs="Times New Roman"/>
                <w:b/>
                <w:bCs/>
                <w:color w:val="auto"/>
                <w:kern w:val="0"/>
                <w:sz w:val="21"/>
                <w:szCs w:val="21"/>
                <w:highlight w:val="none"/>
                <w:lang w:val="en-US" w:eastAsia="zh-CN"/>
              </w:rPr>
              <w:t>与《广东省涉挥发性有机物（VOCs）重点行业治理指引》的通知（粤环办</w:t>
            </w:r>
            <w:r>
              <w:rPr>
                <w:rFonts w:hint="eastAsia" w:cs="Times New Roman"/>
                <w:b/>
                <w:bCs/>
                <w:color w:val="auto"/>
                <w:kern w:val="0"/>
                <w:sz w:val="21"/>
                <w:szCs w:val="21"/>
                <w:highlight w:val="none"/>
                <w:lang w:val="en-US" w:eastAsia="zh-CN"/>
              </w:rPr>
              <w:t>〔2021〕</w:t>
            </w:r>
            <w:r>
              <w:rPr>
                <w:rFonts w:hint="eastAsia" w:ascii="Times New Roman" w:hAnsi="Times New Roman" w:eastAsia="宋体" w:cs="Times New Roman"/>
                <w:b/>
                <w:bCs/>
                <w:color w:val="auto"/>
                <w:kern w:val="0"/>
                <w:sz w:val="21"/>
                <w:szCs w:val="21"/>
                <w:highlight w:val="none"/>
                <w:lang w:val="en-US" w:eastAsia="zh-CN"/>
              </w:rPr>
              <w:t>43号）相符性分析</w:t>
            </w:r>
          </w:p>
          <w:p w14:paraId="43B86C60">
            <w:pPr>
              <w:keepNext w:val="0"/>
              <w:keepLines w:val="0"/>
              <w:suppressLineNumbers w:val="0"/>
              <w:spacing w:before="0" w:beforeAutospacing="0" w:after="0" w:afterAutospacing="0" w:line="360" w:lineRule="auto"/>
              <w:ind w:left="0" w:right="0"/>
              <w:outlineLvl w:val="0"/>
              <w:rPr>
                <w:rFonts w:hint="eastAsia" w:ascii="Times New Roman" w:hAnsi="Times New Roman" w:eastAsia="宋体" w:cs="Times New Roman"/>
                <w:b w:val="0"/>
                <w:bCs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vertAlign w:val="baseline"/>
                <w:lang w:val="en-US" w:eastAsia="zh-CN"/>
              </w:rPr>
              <w:t xml:space="preserve">   本项目涉印刷加工生产活动，对纸制品进行胶印，对照《</w:t>
            </w:r>
            <w:r>
              <w:rPr>
                <w:rFonts w:hint="eastAsia" w:ascii="Times New Roman" w:hAnsi="Times New Roman" w:eastAsia="宋体" w:cs="Times New Roman"/>
                <w:b w:val="0"/>
                <w:bCs w:val="0"/>
                <w:color w:val="auto"/>
                <w:kern w:val="0"/>
                <w:sz w:val="21"/>
                <w:szCs w:val="21"/>
                <w:highlight w:val="none"/>
                <w:lang w:val="en-US" w:eastAsia="zh-CN"/>
              </w:rPr>
              <w:t>广东省涉挥发性有机物（VOCs）重点行业治理指引》中“四、印刷业VOCs治理指引”中的相关工序的措施，符合性分析如下：</w:t>
            </w:r>
          </w:p>
          <w:p w14:paraId="2A0D7D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eastAsia" w:ascii="Times New Roman" w:hAnsi="Times New Roman" w:eastAsia="宋体" w:cs="Times New Roman"/>
                <w:b/>
                <w:bCs/>
                <w:color w:val="auto"/>
                <w:kern w:val="0"/>
                <w:szCs w:val="21"/>
                <w:highlight w:val="none"/>
                <w:lang w:val="en-US" w:eastAsia="zh-CN"/>
              </w:rPr>
            </w:pPr>
            <w:r>
              <w:rPr>
                <w:rFonts w:hint="eastAsia" w:ascii="Times New Roman" w:hAnsi="Times New Roman" w:eastAsia="宋体" w:cs="Times New Roman"/>
                <w:b/>
                <w:bCs/>
                <w:color w:val="auto"/>
                <w:kern w:val="0"/>
                <w:szCs w:val="21"/>
                <w:highlight w:val="none"/>
                <w:lang w:val="en-US" w:eastAsia="zh-CN"/>
              </w:rPr>
              <w:t>表</w:t>
            </w:r>
            <w:r>
              <w:rPr>
                <w:rFonts w:hint="eastAsia" w:ascii="Times New Roman" w:hAnsi="Times New Roman" w:cs="Times New Roman"/>
                <w:b/>
                <w:bCs/>
                <w:color w:val="auto"/>
                <w:kern w:val="0"/>
                <w:szCs w:val="21"/>
                <w:highlight w:val="none"/>
                <w:lang w:val="en-US" w:eastAsia="zh-CN"/>
              </w:rPr>
              <w:t>1-</w:t>
            </w:r>
            <w:r>
              <w:rPr>
                <w:rFonts w:hint="eastAsia" w:ascii="Times New Roman" w:hAnsi="Times New Roman" w:eastAsia="宋体" w:cs="Times New Roman"/>
                <w:b/>
                <w:bCs/>
                <w:color w:val="auto"/>
                <w:kern w:val="0"/>
                <w:szCs w:val="21"/>
                <w:highlight w:val="none"/>
                <w:lang w:val="en-US" w:eastAsia="zh-CN"/>
              </w:rPr>
              <w:t>6 《广东省涉VOC</w:t>
            </w:r>
            <w:r>
              <w:rPr>
                <w:rFonts w:hint="eastAsia" w:ascii="Times New Roman" w:hAnsi="Times New Roman" w:eastAsia="宋体" w:cs="Times New Roman"/>
                <w:b/>
                <w:bCs/>
                <w:color w:val="auto"/>
                <w:kern w:val="0"/>
                <w:szCs w:val="21"/>
                <w:highlight w:val="none"/>
                <w:vertAlign w:val="subscript"/>
                <w:lang w:val="en-US" w:eastAsia="zh-CN"/>
              </w:rPr>
              <w:t>S</w:t>
            </w:r>
            <w:r>
              <w:rPr>
                <w:rFonts w:hint="eastAsia" w:ascii="Times New Roman" w:hAnsi="Times New Roman" w:eastAsia="宋体" w:cs="Times New Roman"/>
                <w:b/>
                <w:bCs/>
                <w:color w:val="auto"/>
                <w:kern w:val="0"/>
                <w:szCs w:val="21"/>
                <w:highlight w:val="none"/>
                <w:vertAlign w:val="baseline"/>
                <w:lang w:val="en-US" w:eastAsia="zh-CN"/>
              </w:rPr>
              <w:t>重点行业治理指引</w:t>
            </w:r>
            <w:r>
              <w:rPr>
                <w:rFonts w:hint="eastAsia" w:ascii="Times New Roman" w:hAnsi="Times New Roman" w:eastAsia="宋体" w:cs="Times New Roman"/>
                <w:b/>
                <w:bCs/>
                <w:color w:val="auto"/>
                <w:kern w:val="0"/>
                <w:szCs w:val="21"/>
                <w:highlight w:val="none"/>
                <w:lang w:val="en-US" w:eastAsia="zh-CN"/>
              </w:rPr>
              <w:t>》印刷业要求分析一览表（摘录）</w:t>
            </w:r>
          </w:p>
          <w:tbl>
            <w:tblPr>
              <w:tblStyle w:val="32"/>
              <w:tblW w:w="8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2506"/>
              <w:gridCol w:w="785"/>
              <w:gridCol w:w="4116"/>
            </w:tblGrid>
            <w:tr w14:paraId="02893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1" w:type="dxa"/>
                  <w:noWrap w:val="0"/>
                  <w:vAlign w:val="center"/>
                </w:tcPr>
                <w:p w14:paraId="52CD31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eastAsia" w:ascii="Times New Roman" w:hAnsi="Times New Roman" w:eastAsia="宋体" w:cs="Times New Roman"/>
                      <w:b w:val="0"/>
                      <w:bCs w:val="0"/>
                      <w:color w:val="auto"/>
                      <w:kern w:val="0"/>
                      <w:szCs w:val="21"/>
                      <w:highlight w:val="none"/>
                      <w:vertAlign w:val="baseline"/>
                      <w:lang w:val="en-US" w:eastAsia="zh-CN"/>
                    </w:rPr>
                    <w:t>环节</w:t>
                  </w:r>
                </w:p>
              </w:tc>
              <w:tc>
                <w:tcPr>
                  <w:tcW w:w="2506" w:type="dxa"/>
                  <w:noWrap w:val="0"/>
                  <w:vAlign w:val="center"/>
                </w:tcPr>
                <w:p w14:paraId="3BEDB0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eastAsia" w:ascii="Times New Roman" w:hAnsi="Times New Roman" w:eastAsia="宋体" w:cs="Times New Roman"/>
                      <w:b w:val="0"/>
                      <w:bCs w:val="0"/>
                      <w:color w:val="auto"/>
                      <w:kern w:val="0"/>
                      <w:szCs w:val="21"/>
                      <w:highlight w:val="none"/>
                      <w:vertAlign w:val="baseline"/>
                      <w:lang w:val="en-US" w:eastAsia="zh-CN"/>
                    </w:rPr>
                    <w:t>控制要求</w:t>
                  </w:r>
                </w:p>
              </w:tc>
              <w:tc>
                <w:tcPr>
                  <w:tcW w:w="785" w:type="dxa"/>
                  <w:noWrap w:val="0"/>
                  <w:vAlign w:val="center"/>
                </w:tcPr>
                <w:p w14:paraId="530692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eastAsia" w:ascii="Times New Roman" w:hAnsi="Times New Roman" w:eastAsia="宋体" w:cs="Times New Roman"/>
                      <w:b w:val="0"/>
                      <w:bCs w:val="0"/>
                      <w:color w:val="auto"/>
                      <w:kern w:val="0"/>
                      <w:szCs w:val="21"/>
                      <w:highlight w:val="none"/>
                      <w:vertAlign w:val="baseline"/>
                      <w:lang w:val="en-US" w:eastAsia="zh-CN"/>
                    </w:rPr>
                  </w:pPr>
                  <w:r>
                    <w:rPr>
                      <w:rFonts w:hint="eastAsia" w:ascii="Times New Roman" w:hAnsi="Times New Roman" w:eastAsia="宋体" w:cs="Times New Roman"/>
                      <w:b w:val="0"/>
                      <w:bCs w:val="0"/>
                      <w:color w:val="auto"/>
                      <w:kern w:val="0"/>
                      <w:szCs w:val="21"/>
                      <w:highlight w:val="none"/>
                      <w:vertAlign w:val="baseline"/>
                      <w:lang w:val="en-US" w:eastAsia="zh-CN"/>
                    </w:rPr>
                    <w:t>实施</w:t>
                  </w:r>
                </w:p>
                <w:p w14:paraId="64ED95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eastAsia" w:ascii="Times New Roman" w:hAnsi="Times New Roman" w:eastAsia="宋体" w:cs="Times New Roman"/>
                      <w:b w:val="0"/>
                      <w:bCs w:val="0"/>
                      <w:color w:val="auto"/>
                      <w:kern w:val="0"/>
                      <w:szCs w:val="21"/>
                      <w:highlight w:val="none"/>
                      <w:vertAlign w:val="baseline"/>
                      <w:lang w:val="en-US" w:eastAsia="zh-CN"/>
                    </w:rPr>
                    <w:t>要求</w:t>
                  </w:r>
                </w:p>
              </w:tc>
              <w:tc>
                <w:tcPr>
                  <w:tcW w:w="4116" w:type="dxa"/>
                  <w:noWrap w:val="0"/>
                  <w:vAlign w:val="center"/>
                </w:tcPr>
                <w:p w14:paraId="013FC1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eastAsia" w:ascii="Times New Roman" w:hAnsi="Times New Roman" w:eastAsia="宋体" w:cs="Times New Roman"/>
                      <w:b w:val="0"/>
                      <w:bCs w:val="0"/>
                      <w:color w:val="auto"/>
                      <w:kern w:val="0"/>
                      <w:szCs w:val="21"/>
                      <w:highlight w:val="none"/>
                      <w:vertAlign w:val="baseline"/>
                      <w:lang w:val="en-US" w:eastAsia="zh-CN"/>
                    </w:rPr>
                    <w:t>本项目情况</w:t>
                  </w:r>
                </w:p>
              </w:tc>
            </w:tr>
            <w:tr w14:paraId="0A5EC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58" w:type="dxa"/>
                  <w:gridSpan w:val="4"/>
                  <w:noWrap w:val="0"/>
                  <w:vAlign w:val="center"/>
                </w:tcPr>
                <w:p w14:paraId="37BA2E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eastAsia" w:ascii="Times New Roman" w:hAnsi="Times New Roman" w:eastAsia="宋体" w:cs="Times New Roman"/>
                      <w:b/>
                      <w:bCs/>
                      <w:color w:val="auto"/>
                      <w:kern w:val="0"/>
                      <w:szCs w:val="21"/>
                      <w:highlight w:val="none"/>
                      <w:vertAlign w:val="baseline"/>
                      <w:lang w:val="en-US" w:eastAsia="zh-CN"/>
                    </w:rPr>
                    <w:t>源头控制</w:t>
                  </w:r>
                </w:p>
              </w:tc>
            </w:tr>
            <w:tr w14:paraId="3FD9A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1" w:type="dxa"/>
                  <w:noWrap w:val="0"/>
                  <w:vAlign w:val="center"/>
                </w:tcPr>
                <w:p w14:paraId="1A1844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eastAsia" w:ascii="Times New Roman" w:hAnsi="Times New Roman" w:eastAsia="宋体" w:cs="Times New Roman"/>
                      <w:b w:val="0"/>
                      <w:bCs w:val="0"/>
                      <w:color w:val="auto"/>
                      <w:kern w:val="0"/>
                      <w:szCs w:val="21"/>
                      <w:highlight w:val="none"/>
                      <w:vertAlign w:val="baseline"/>
                      <w:lang w:val="en-US" w:eastAsia="zh-CN"/>
                    </w:rPr>
                    <w:t>印刷</w:t>
                  </w:r>
                </w:p>
              </w:tc>
              <w:tc>
                <w:tcPr>
                  <w:tcW w:w="2506" w:type="dxa"/>
                  <w:shd w:val="clear" w:color="auto" w:fill="auto"/>
                  <w:noWrap w:val="0"/>
                  <w:vAlign w:val="center"/>
                </w:tcPr>
                <w:p w14:paraId="4D0BF2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outlineLvl w:val="0"/>
                    <w:rPr>
                      <w:rFonts w:hint="default" w:ascii="Times New Roman" w:hAnsi="Times New Roman" w:eastAsia="宋体" w:cs="Times New Roman"/>
                      <w:b w:val="0"/>
                      <w:bCs w:val="0"/>
                      <w:color w:val="auto"/>
                      <w:kern w:val="0"/>
                      <w:sz w:val="21"/>
                      <w:szCs w:val="21"/>
                      <w:highlight w:val="none"/>
                      <w:vertAlign w:val="baseline"/>
                      <w:lang w:val="en-US" w:eastAsia="zh-CN" w:bidi="ar-SA"/>
                    </w:rPr>
                  </w:pPr>
                  <w:r>
                    <w:rPr>
                      <w:rFonts w:hint="eastAsia" w:ascii="Times New Roman" w:hAnsi="Times New Roman" w:eastAsia="宋体" w:cs="Times New Roman"/>
                      <w:b/>
                      <w:bCs/>
                      <w:color w:val="auto"/>
                      <w:kern w:val="0"/>
                      <w:szCs w:val="21"/>
                      <w:highlight w:val="none"/>
                      <w:vertAlign w:val="baseline"/>
                      <w:lang w:val="en-US" w:eastAsia="zh-CN"/>
                    </w:rPr>
                    <w:t>水性喷墨印刷油墨，VOCs≤30%。</w:t>
                  </w:r>
                </w:p>
              </w:tc>
              <w:tc>
                <w:tcPr>
                  <w:tcW w:w="785" w:type="dxa"/>
                  <w:shd w:val="clear" w:color="auto" w:fill="auto"/>
                  <w:noWrap w:val="0"/>
                  <w:vAlign w:val="center"/>
                </w:tcPr>
                <w:p w14:paraId="1E59C1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outlineLvl w:val="0"/>
                    <w:rPr>
                      <w:rFonts w:hint="default" w:ascii="Times New Roman" w:hAnsi="Times New Roman" w:eastAsia="宋体" w:cs="Times New Roman"/>
                      <w:b/>
                      <w:bCs/>
                      <w:color w:val="auto"/>
                      <w:kern w:val="0"/>
                      <w:sz w:val="21"/>
                      <w:szCs w:val="21"/>
                      <w:highlight w:val="none"/>
                      <w:vertAlign w:val="baseline"/>
                      <w:lang w:val="en-US" w:eastAsia="zh-CN" w:bidi="ar-SA"/>
                    </w:rPr>
                  </w:pPr>
                  <w:r>
                    <w:rPr>
                      <w:rFonts w:hint="eastAsia" w:ascii="Times New Roman" w:hAnsi="Times New Roman" w:eastAsia="宋体" w:cs="Times New Roman"/>
                      <w:b/>
                      <w:bCs/>
                      <w:color w:val="auto"/>
                      <w:kern w:val="0"/>
                      <w:szCs w:val="21"/>
                      <w:highlight w:val="none"/>
                      <w:vertAlign w:val="baseline"/>
                      <w:lang w:val="en-US" w:eastAsia="zh-CN"/>
                    </w:rPr>
                    <w:t>要求</w:t>
                  </w:r>
                </w:p>
              </w:tc>
              <w:tc>
                <w:tcPr>
                  <w:tcW w:w="4116" w:type="dxa"/>
                  <w:noWrap w:val="0"/>
                  <w:vAlign w:val="center"/>
                </w:tcPr>
                <w:p w14:paraId="34E321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eastAsia" w:ascii="Times New Roman" w:hAnsi="Times New Roman" w:eastAsia="宋体" w:cs="Times New Roman"/>
                      <w:b w:val="0"/>
                      <w:bCs w:val="0"/>
                      <w:color w:val="auto"/>
                      <w:kern w:val="0"/>
                      <w:szCs w:val="21"/>
                      <w:highlight w:val="none"/>
                      <w:vertAlign w:val="baseline"/>
                      <w:lang w:val="en-US" w:eastAsia="zh-CN"/>
                    </w:rPr>
                    <w:t>本项目印刷机所用的油墨为</w:t>
                  </w:r>
                  <w:r>
                    <w:rPr>
                      <w:rFonts w:hint="eastAsia" w:cs="Times New Roman"/>
                      <w:b/>
                      <w:bCs/>
                      <w:color w:val="auto"/>
                      <w:kern w:val="0"/>
                      <w:szCs w:val="21"/>
                      <w:highlight w:val="none"/>
                      <w:vertAlign w:val="baseline"/>
                      <w:lang w:val="en-US" w:eastAsia="zh-CN"/>
                    </w:rPr>
                    <w:t>大豆油墨</w:t>
                  </w:r>
                  <w:r>
                    <w:rPr>
                      <w:rFonts w:hint="eastAsia" w:ascii="Times New Roman" w:hAnsi="Times New Roman" w:eastAsia="宋体" w:cs="Times New Roman"/>
                      <w:b w:val="0"/>
                      <w:bCs w:val="0"/>
                      <w:color w:val="auto"/>
                      <w:kern w:val="0"/>
                      <w:szCs w:val="21"/>
                      <w:highlight w:val="none"/>
                      <w:vertAlign w:val="baseline"/>
                      <w:lang w:val="en-US" w:eastAsia="zh-CN"/>
                    </w:rPr>
                    <w:t>，物料VOCs含量</w:t>
                  </w:r>
                  <w:r>
                    <w:rPr>
                      <w:rFonts w:hint="eastAsia" w:cs="Times New Roman"/>
                      <w:b w:val="0"/>
                      <w:bCs w:val="0"/>
                      <w:color w:val="auto"/>
                      <w:kern w:val="0"/>
                      <w:szCs w:val="21"/>
                      <w:highlight w:val="none"/>
                      <w:vertAlign w:val="baseline"/>
                      <w:lang w:val="en-US" w:eastAsia="zh-CN"/>
                    </w:rPr>
                    <w:t>0.1</w:t>
                  </w:r>
                  <w:r>
                    <w:rPr>
                      <w:rFonts w:hint="eastAsia" w:ascii="Times New Roman" w:hAnsi="Times New Roman" w:eastAsia="宋体" w:cs="Times New Roman"/>
                      <w:b w:val="0"/>
                      <w:bCs w:val="0"/>
                      <w:color w:val="auto"/>
                      <w:kern w:val="0"/>
                      <w:szCs w:val="21"/>
                      <w:highlight w:val="none"/>
                      <w:vertAlign w:val="baseline"/>
                      <w:lang w:val="en-US" w:eastAsia="zh-CN"/>
                    </w:rPr>
                    <w:t>%，符合要求。</w:t>
                  </w:r>
                </w:p>
              </w:tc>
            </w:tr>
            <w:tr w14:paraId="734BA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1" w:type="dxa"/>
                  <w:noWrap w:val="0"/>
                  <w:vAlign w:val="center"/>
                </w:tcPr>
                <w:p w14:paraId="2315E2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eastAsia" w:ascii="Times New Roman" w:hAnsi="Times New Roman" w:eastAsia="宋体" w:cs="Times New Roman"/>
                      <w:b w:val="0"/>
                      <w:bCs w:val="0"/>
                      <w:color w:val="auto"/>
                      <w:kern w:val="0"/>
                      <w:szCs w:val="21"/>
                      <w:highlight w:val="none"/>
                      <w:vertAlign w:val="baseline"/>
                      <w:lang w:val="en-US" w:eastAsia="zh-CN"/>
                    </w:rPr>
                    <w:t>纸加工和书本装订</w:t>
                  </w:r>
                </w:p>
              </w:tc>
              <w:tc>
                <w:tcPr>
                  <w:tcW w:w="2506" w:type="dxa"/>
                  <w:noWrap w:val="0"/>
                  <w:vAlign w:val="center"/>
                </w:tcPr>
                <w:p w14:paraId="6ECEA7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eastAsia" w:cs="Times New Roman"/>
                      <w:b/>
                      <w:bCs/>
                      <w:color w:val="auto"/>
                      <w:kern w:val="0"/>
                      <w:szCs w:val="21"/>
                      <w:highlight w:val="none"/>
                      <w:vertAlign w:val="baseline"/>
                      <w:lang w:val="en-US" w:eastAsia="zh-CN"/>
                    </w:rPr>
                    <w:t>溶剂型</w:t>
                  </w:r>
                  <w:r>
                    <w:rPr>
                      <w:rFonts w:hint="eastAsia" w:ascii="Times New Roman" w:hAnsi="Times New Roman" w:eastAsia="宋体" w:cs="Times New Roman"/>
                      <w:b/>
                      <w:bCs/>
                      <w:color w:val="auto"/>
                      <w:kern w:val="0"/>
                      <w:szCs w:val="21"/>
                      <w:highlight w:val="none"/>
                      <w:vertAlign w:val="baseline"/>
                      <w:lang w:val="en-US" w:eastAsia="zh-CN"/>
                    </w:rPr>
                    <w:t>胶黏剂</w:t>
                  </w:r>
                  <w:r>
                    <w:rPr>
                      <w:rFonts w:hint="eastAsia" w:ascii="Times New Roman" w:hAnsi="Times New Roman" w:eastAsia="宋体" w:cs="Times New Roman"/>
                      <w:b w:val="0"/>
                      <w:bCs w:val="0"/>
                      <w:color w:val="auto"/>
                      <w:kern w:val="0"/>
                      <w:szCs w:val="21"/>
                      <w:highlight w:val="none"/>
                      <w:vertAlign w:val="baseline"/>
                      <w:lang w:val="en-US" w:eastAsia="zh-CN"/>
                    </w:rPr>
                    <w:t>、MS类、聚氨酯类、热塑类、其他类，VOCs≤</w:t>
                  </w:r>
                  <w:r>
                    <w:rPr>
                      <w:rFonts w:hint="eastAsia" w:cs="Times New Roman"/>
                      <w:b w:val="0"/>
                      <w:bCs w:val="0"/>
                      <w:color w:val="auto"/>
                      <w:kern w:val="0"/>
                      <w:szCs w:val="21"/>
                      <w:highlight w:val="none"/>
                      <w:vertAlign w:val="baseline"/>
                      <w:lang w:val="en-US" w:eastAsia="zh-CN"/>
                    </w:rPr>
                    <w:t>2</w:t>
                  </w:r>
                  <w:r>
                    <w:rPr>
                      <w:rFonts w:hint="eastAsia" w:ascii="Times New Roman" w:hAnsi="Times New Roman" w:eastAsia="宋体" w:cs="Times New Roman"/>
                      <w:b w:val="0"/>
                      <w:bCs w:val="0"/>
                      <w:color w:val="auto"/>
                      <w:kern w:val="0"/>
                      <w:szCs w:val="21"/>
                      <w:highlight w:val="none"/>
                      <w:vertAlign w:val="baseline"/>
                      <w:lang w:val="en-US" w:eastAsia="zh-CN"/>
                    </w:rPr>
                    <w:t>50g/kg</w:t>
                  </w:r>
                </w:p>
              </w:tc>
              <w:tc>
                <w:tcPr>
                  <w:tcW w:w="785" w:type="dxa"/>
                  <w:noWrap w:val="0"/>
                  <w:vAlign w:val="center"/>
                </w:tcPr>
                <w:p w14:paraId="3B2415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eastAsia" w:ascii="Times New Roman" w:hAnsi="Times New Roman" w:eastAsia="宋体" w:cs="Times New Roman"/>
                      <w:b/>
                      <w:bCs/>
                      <w:color w:val="auto"/>
                      <w:kern w:val="0"/>
                      <w:szCs w:val="21"/>
                      <w:highlight w:val="none"/>
                      <w:vertAlign w:val="baseline"/>
                      <w:lang w:val="en-US" w:eastAsia="zh-CN"/>
                    </w:rPr>
                    <w:t>要求</w:t>
                  </w:r>
                </w:p>
              </w:tc>
              <w:tc>
                <w:tcPr>
                  <w:tcW w:w="4116" w:type="dxa"/>
                  <w:noWrap w:val="0"/>
                  <w:vAlign w:val="center"/>
                </w:tcPr>
                <w:p w14:paraId="6FA91F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eastAsia" w:ascii="Times New Roman" w:hAnsi="Times New Roman" w:eastAsia="宋体" w:cs="Times New Roman"/>
                      <w:b w:val="0"/>
                      <w:bCs w:val="0"/>
                      <w:color w:val="auto"/>
                      <w:kern w:val="0"/>
                      <w:szCs w:val="21"/>
                      <w:highlight w:val="none"/>
                      <w:vertAlign w:val="baseline"/>
                      <w:lang w:val="en-US" w:eastAsia="zh-CN"/>
                    </w:rPr>
                    <w:t>本项目纸加工所用的胶黏剂为</w:t>
                  </w:r>
                  <w:r>
                    <w:rPr>
                      <w:rFonts w:hint="eastAsia" w:cs="Times New Roman"/>
                      <w:b w:val="0"/>
                      <w:bCs w:val="0"/>
                      <w:color w:val="auto"/>
                      <w:kern w:val="0"/>
                      <w:szCs w:val="21"/>
                      <w:highlight w:val="none"/>
                      <w:vertAlign w:val="baseline"/>
                      <w:lang w:val="en-US" w:eastAsia="zh-CN"/>
                    </w:rPr>
                    <w:t>封口胶</w:t>
                  </w:r>
                  <w:r>
                    <w:rPr>
                      <w:rFonts w:hint="eastAsia" w:ascii="Times New Roman" w:hAnsi="Times New Roman" w:eastAsia="宋体" w:cs="Times New Roman"/>
                      <w:b w:val="0"/>
                      <w:bCs w:val="0"/>
                      <w:color w:val="auto"/>
                      <w:kern w:val="0"/>
                      <w:szCs w:val="21"/>
                      <w:highlight w:val="none"/>
                      <w:vertAlign w:val="baseline"/>
                      <w:lang w:val="en-US" w:eastAsia="zh-CN"/>
                    </w:rPr>
                    <w:t>跟淀粉胶，属于</w:t>
                  </w:r>
                  <w:r>
                    <w:rPr>
                      <w:rFonts w:hint="eastAsia" w:cs="Times New Roman"/>
                      <w:b/>
                      <w:bCs/>
                      <w:color w:val="auto"/>
                      <w:kern w:val="0"/>
                      <w:szCs w:val="21"/>
                      <w:highlight w:val="none"/>
                      <w:vertAlign w:val="baseline"/>
                      <w:lang w:val="en-US" w:eastAsia="zh-CN"/>
                    </w:rPr>
                    <w:t>溶剂型</w:t>
                  </w:r>
                  <w:r>
                    <w:rPr>
                      <w:rFonts w:hint="eastAsia" w:ascii="Times New Roman" w:hAnsi="Times New Roman" w:eastAsia="宋体" w:cs="Times New Roman"/>
                      <w:b/>
                      <w:bCs/>
                      <w:color w:val="auto"/>
                      <w:kern w:val="0"/>
                      <w:szCs w:val="21"/>
                      <w:highlight w:val="none"/>
                      <w:vertAlign w:val="baseline"/>
                      <w:lang w:val="en-US" w:eastAsia="zh-CN"/>
                    </w:rPr>
                    <w:t>胶黏剂</w:t>
                  </w:r>
                  <w:r>
                    <w:rPr>
                      <w:rFonts w:hint="eastAsia" w:ascii="Times New Roman" w:hAnsi="Times New Roman" w:eastAsia="宋体" w:cs="Times New Roman"/>
                      <w:b w:val="0"/>
                      <w:bCs w:val="0"/>
                      <w:color w:val="auto"/>
                      <w:kern w:val="0"/>
                      <w:szCs w:val="21"/>
                      <w:highlight w:val="none"/>
                      <w:vertAlign w:val="baseline"/>
                      <w:lang w:val="en-US" w:eastAsia="zh-CN"/>
                    </w:rPr>
                    <w:t>，</w:t>
                  </w:r>
                  <w:r>
                    <w:rPr>
                      <w:rFonts w:hint="eastAsia" w:cs="Times New Roman"/>
                      <w:b w:val="0"/>
                      <w:bCs w:val="0"/>
                      <w:color w:val="auto"/>
                      <w:kern w:val="0"/>
                      <w:szCs w:val="21"/>
                      <w:highlight w:val="none"/>
                      <w:vertAlign w:val="baseline"/>
                      <w:lang w:val="en-US" w:eastAsia="zh-CN"/>
                    </w:rPr>
                    <w:t>封口胶</w:t>
                  </w:r>
                  <w:r>
                    <w:rPr>
                      <w:rFonts w:hint="eastAsia" w:ascii="Times New Roman" w:hAnsi="Times New Roman" w:eastAsia="宋体" w:cs="Times New Roman"/>
                      <w:b w:val="0"/>
                      <w:bCs w:val="0"/>
                      <w:color w:val="auto"/>
                      <w:kern w:val="0"/>
                      <w:szCs w:val="21"/>
                      <w:highlight w:val="none"/>
                      <w:vertAlign w:val="baseline"/>
                      <w:lang w:val="en-US" w:eastAsia="zh-CN"/>
                    </w:rPr>
                    <w:t>VOCs含量为</w:t>
                  </w:r>
                  <w:r>
                    <w:rPr>
                      <w:rFonts w:hint="eastAsia" w:cs="Times New Roman"/>
                      <w:b w:val="0"/>
                      <w:bCs w:val="0"/>
                      <w:color w:val="auto"/>
                      <w:kern w:val="0"/>
                      <w:szCs w:val="21"/>
                      <w:highlight w:val="none"/>
                      <w:vertAlign w:val="baseline"/>
                      <w:lang w:val="en-US" w:eastAsia="zh-CN"/>
                    </w:rPr>
                    <w:t>216</w:t>
                  </w:r>
                  <w:r>
                    <w:rPr>
                      <w:rFonts w:hint="eastAsia" w:ascii="Times New Roman" w:hAnsi="Times New Roman" w:eastAsia="宋体" w:cs="Times New Roman"/>
                      <w:b w:val="0"/>
                      <w:bCs w:val="0"/>
                      <w:color w:val="auto"/>
                      <w:kern w:val="0"/>
                      <w:szCs w:val="21"/>
                      <w:highlight w:val="none"/>
                      <w:vertAlign w:val="baseline"/>
                      <w:lang w:val="en-US" w:eastAsia="zh-CN"/>
                    </w:rPr>
                    <w:t>g/kg符合要求。</w:t>
                  </w:r>
                </w:p>
              </w:tc>
            </w:tr>
            <w:tr w14:paraId="0C7CB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1" w:type="dxa"/>
                  <w:noWrap w:val="0"/>
                  <w:vAlign w:val="center"/>
                </w:tcPr>
                <w:p w14:paraId="59B967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eastAsia" w:ascii="Times New Roman" w:hAnsi="Times New Roman" w:eastAsia="宋体" w:cs="Times New Roman"/>
                      <w:b w:val="0"/>
                      <w:bCs w:val="0"/>
                      <w:color w:val="auto"/>
                      <w:kern w:val="0"/>
                      <w:szCs w:val="21"/>
                      <w:highlight w:val="none"/>
                      <w:vertAlign w:val="baseline"/>
                      <w:lang w:val="en-US" w:eastAsia="zh-CN"/>
                    </w:rPr>
                    <w:t>上光</w:t>
                  </w:r>
                </w:p>
              </w:tc>
              <w:tc>
                <w:tcPr>
                  <w:tcW w:w="2506" w:type="dxa"/>
                  <w:noWrap w:val="0"/>
                  <w:vAlign w:val="center"/>
                </w:tcPr>
                <w:p w14:paraId="720795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eastAsia" w:ascii="Times New Roman" w:hAnsi="Times New Roman" w:eastAsia="宋体" w:cs="Times New Roman"/>
                      <w:b/>
                      <w:bCs/>
                      <w:color w:val="auto"/>
                      <w:kern w:val="0"/>
                      <w:szCs w:val="21"/>
                      <w:highlight w:val="none"/>
                      <w:vertAlign w:val="baseline"/>
                      <w:lang w:val="en-US" w:eastAsia="zh-CN"/>
                    </w:rPr>
                    <w:t>使用光油</w:t>
                  </w:r>
                  <w:r>
                    <w:rPr>
                      <w:rFonts w:hint="eastAsia" w:cs="Times New Roman"/>
                      <w:b/>
                      <w:bCs/>
                      <w:color w:val="auto"/>
                      <w:kern w:val="0"/>
                      <w:szCs w:val="21"/>
                      <w:highlight w:val="none"/>
                      <w:vertAlign w:val="baseline"/>
                      <w:lang w:val="en-US" w:eastAsia="zh-CN"/>
                    </w:rPr>
                    <w:t>调和液</w:t>
                  </w:r>
                </w:p>
              </w:tc>
              <w:tc>
                <w:tcPr>
                  <w:tcW w:w="785" w:type="dxa"/>
                  <w:noWrap w:val="0"/>
                  <w:vAlign w:val="center"/>
                </w:tcPr>
                <w:p w14:paraId="2C7024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eastAsia" w:ascii="Times New Roman" w:hAnsi="Times New Roman" w:eastAsia="宋体" w:cs="Times New Roman"/>
                      <w:b w:val="0"/>
                      <w:bCs w:val="0"/>
                      <w:color w:val="auto"/>
                      <w:kern w:val="0"/>
                      <w:szCs w:val="21"/>
                      <w:highlight w:val="none"/>
                      <w:vertAlign w:val="baseline"/>
                      <w:lang w:val="en-US" w:eastAsia="zh-CN"/>
                    </w:rPr>
                    <w:t>推荐</w:t>
                  </w:r>
                </w:p>
              </w:tc>
              <w:tc>
                <w:tcPr>
                  <w:tcW w:w="4116" w:type="dxa"/>
                  <w:noWrap w:val="0"/>
                  <w:vAlign w:val="center"/>
                </w:tcPr>
                <w:p w14:paraId="78578F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eastAsia" w:ascii="Times New Roman" w:hAnsi="Times New Roman" w:eastAsia="宋体" w:cs="Times New Roman"/>
                      <w:b w:val="0"/>
                      <w:bCs w:val="0"/>
                      <w:color w:val="auto"/>
                      <w:kern w:val="0"/>
                      <w:szCs w:val="21"/>
                      <w:highlight w:val="none"/>
                      <w:vertAlign w:val="baseline"/>
                      <w:lang w:val="en-US" w:eastAsia="zh-CN"/>
                    </w:rPr>
                    <w:t>本项目上光工序</w:t>
                  </w:r>
                  <w:r>
                    <w:rPr>
                      <w:rFonts w:hint="eastAsia" w:cs="Times New Roman"/>
                      <w:b w:val="0"/>
                      <w:bCs w:val="0"/>
                      <w:color w:val="auto"/>
                      <w:kern w:val="0"/>
                      <w:szCs w:val="21"/>
                      <w:highlight w:val="none"/>
                      <w:vertAlign w:val="baseline"/>
                      <w:lang w:val="en-US" w:eastAsia="zh-CN"/>
                    </w:rPr>
                    <w:t>使用</w:t>
                  </w:r>
                  <w:r>
                    <w:rPr>
                      <w:rFonts w:hint="eastAsia" w:ascii="Times New Roman" w:hAnsi="Times New Roman" w:eastAsia="宋体" w:cs="Times New Roman"/>
                      <w:b/>
                      <w:bCs/>
                      <w:color w:val="auto"/>
                      <w:kern w:val="0"/>
                      <w:szCs w:val="21"/>
                      <w:highlight w:val="none"/>
                      <w:vertAlign w:val="baseline"/>
                      <w:lang w:val="en-US" w:eastAsia="zh-CN"/>
                    </w:rPr>
                    <w:t>水性光油</w:t>
                  </w:r>
                  <w:r>
                    <w:rPr>
                      <w:rFonts w:hint="eastAsia" w:cs="Times New Roman"/>
                      <w:b/>
                      <w:bCs/>
                      <w:color w:val="auto"/>
                      <w:kern w:val="0"/>
                      <w:szCs w:val="21"/>
                      <w:highlight w:val="none"/>
                      <w:vertAlign w:val="baseline"/>
                      <w:lang w:val="en-US" w:eastAsia="zh-CN"/>
                    </w:rPr>
                    <w:t>和天那水</w:t>
                  </w:r>
                  <w:r>
                    <w:rPr>
                      <w:rFonts w:hint="eastAsia" w:ascii="Times New Roman" w:hAnsi="Times New Roman" w:eastAsia="宋体" w:cs="Times New Roman"/>
                      <w:b w:val="0"/>
                      <w:bCs w:val="0"/>
                      <w:color w:val="auto"/>
                      <w:kern w:val="0"/>
                      <w:szCs w:val="21"/>
                      <w:highlight w:val="none"/>
                      <w:vertAlign w:val="baseline"/>
                      <w:lang w:val="en-US" w:eastAsia="zh-CN"/>
                    </w:rPr>
                    <w:t>的调和液</w:t>
                  </w:r>
                  <w:r>
                    <w:rPr>
                      <w:rFonts w:hint="eastAsia" w:ascii="Times New Roman" w:hAnsi="Times New Roman" w:eastAsia="宋体" w:cs="Times New Roman"/>
                      <w:b/>
                      <w:bCs/>
                      <w:color w:val="auto"/>
                      <w:kern w:val="0"/>
                      <w:szCs w:val="21"/>
                      <w:highlight w:val="none"/>
                      <w:vertAlign w:val="baseline"/>
                      <w:lang w:val="en-US" w:eastAsia="zh-CN"/>
                    </w:rPr>
                    <w:t>，</w:t>
                  </w:r>
                  <w:r>
                    <w:rPr>
                      <w:rFonts w:hint="eastAsia" w:ascii="Times New Roman" w:hAnsi="Times New Roman" w:eastAsia="宋体" w:cs="Times New Roman"/>
                      <w:b w:val="0"/>
                      <w:bCs w:val="0"/>
                      <w:color w:val="auto"/>
                      <w:kern w:val="0"/>
                      <w:szCs w:val="21"/>
                      <w:highlight w:val="none"/>
                      <w:vertAlign w:val="baseline"/>
                      <w:lang w:val="en-US" w:eastAsia="zh-CN"/>
                    </w:rPr>
                    <w:t>物料VOCs为</w:t>
                  </w:r>
                  <w:r>
                    <w:rPr>
                      <w:rFonts w:hint="eastAsia" w:cs="Times New Roman"/>
                      <w:b w:val="0"/>
                      <w:bCs w:val="0"/>
                      <w:color w:val="auto"/>
                      <w:kern w:val="0"/>
                      <w:szCs w:val="21"/>
                      <w:highlight w:val="none"/>
                      <w:vertAlign w:val="baseline"/>
                      <w:lang w:val="en-US" w:eastAsia="zh-CN"/>
                    </w:rPr>
                    <w:t xml:space="preserve"> 332.5g/L</w:t>
                  </w:r>
                  <w:r>
                    <w:rPr>
                      <w:rFonts w:hint="eastAsia" w:ascii="Times New Roman" w:hAnsi="Times New Roman" w:eastAsia="宋体" w:cs="Times New Roman"/>
                      <w:b w:val="0"/>
                      <w:bCs w:val="0"/>
                      <w:color w:val="auto"/>
                      <w:kern w:val="0"/>
                      <w:szCs w:val="21"/>
                      <w:highlight w:val="none"/>
                      <w:vertAlign w:val="baseline"/>
                      <w:lang w:val="en-US" w:eastAsia="zh-CN"/>
                    </w:rPr>
                    <w:t>，</w:t>
                  </w:r>
                  <w:r>
                    <w:rPr>
                      <w:rFonts w:hint="eastAsia" w:ascii="Times New Roman" w:hAnsi="Times New Roman" w:eastAsia="宋体" w:cs="Times New Roman"/>
                      <w:b w:val="0"/>
                      <w:bCs w:val="0"/>
                      <w:color w:val="auto"/>
                      <w:kern w:val="0"/>
                      <w:szCs w:val="21"/>
                      <w:highlight w:val="none"/>
                      <w:vertAlign w:val="baseline"/>
                      <w:lang w:val="en-US" w:eastAsia="zh-CN"/>
                    </w:rPr>
                    <w:t>属于文件的推荐光油材料之一。</w:t>
                  </w:r>
                </w:p>
              </w:tc>
            </w:tr>
            <w:tr w14:paraId="51E60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1" w:type="dxa"/>
                  <w:noWrap w:val="0"/>
                  <w:vAlign w:val="center"/>
                </w:tcPr>
                <w:p w14:paraId="2EB7D8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eastAsia" w:ascii="Times New Roman" w:hAnsi="Times New Roman" w:eastAsia="宋体" w:cs="Times New Roman"/>
                      <w:b w:val="0"/>
                      <w:bCs w:val="0"/>
                      <w:color w:val="auto"/>
                      <w:kern w:val="0"/>
                      <w:szCs w:val="21"/>
                      <w:highlight w:val="none"/>
                      <w:vertAlign w:val="baseline"/>
                      <w:lang w:val="en-US" w:eastAsia="zh-CN"/>
                    </w:rPr>
                    <w:t>清洗</w:t>
                  </w:r>
                </w:p>
              </w:tc>
              <w:tc>
                <w:tcPr>
                  <w:tcW w:w="2506" w:type="dxa"/>
                  <w:shd w:val="clear" w:color="auto" w:fill="auto"/>
                  <w:noWrap w:val="0"/>
                  <w:vAlign w:val="center"/>
                </w:tcPr>
                <w:p w14:paraId="376B03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eastAsia" w:ascii="Times New Roman" w:hAnsi="Times New Roman" w:eastAsia="宋体" w:cs="Times New Roman"/>
                      <w:b/>
                      <w:bCs/>
                      <w:color w:val="auto"/>
                      <w:kern w:val="0"/>
                      <w:szCs w:val="21"/>
                      <w:highlight w:val="none"/>
                      <w:vertAlign w:val="baseline"/>
                      <w:lang w:val="en-US" w:eastAsia="zh-CN"/>
                    </w:rPr>
                  </w:pPr>
                  <w:r>
                    <w:rPr>
                      <w:rFonts w:hint="eastAsia" w:ascii="Times New Roman" w:hAnsi="Times New Roman" w:eastAsia="宋体" w:cs="Times New Roman"/>
                      <w:b/>
                      <w:bCs/>
                      <w:color w:val="auto"/>
                      <w:kern w:val="0"/>
                      <w:szCs w:val="21"/>
                      <w:highlight w:val="none"/>
                      <w:vertAlign w:val="baseline"/>
                      <w:lang w:val="en-US" w:eastAsia="zh-CN"/>
                    </w:rPr>
                    <w:t>半水基清洗剂，</w:t>
                  </w:r>
                </w:p>
                <w:p w14:paraId="4192A1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outlineLvl w:val="0"/>
                    <w:rPr>
                      <w:rFonts w:hint="default" w:ascii="Times New Roman" w:hAnsi="Times New Roman" w:eastAsia="宋体" w:cs="Times New Roman"/>
                      <w:b w:val="0"/>
                      <w:bCs w:val="0"/>
                      <w:color w:val="auto"/>
                      <w:kern w:val="0"/>
                      <w:sz w:val="21"/>
                      <w:szCs w:val="21"/>
                      <w:highlight w:val="none"/>
                      <w:vertAlign w:val="baseline"/>
                      <w:lang w:val="en-US" w:eastAsia="zh-CN" w:bidi="ar-SA"/>
                    </w:rPr>
                  </w:pPr>
                  <w:r>
                    <w:rPr>
                      <w:rFonts w:hint="eastAsia" w:ascii="Times New Roman" w:hAnsi="Times New Roman" w:eastAsia="宋体" w:cs="Times New Roman"/>
                      <w:b/>
                      <w:bCs/>
                      <w:color w:val="auto"/>
                      <w:kern w:val="0"/>
                      <w:szCs w:val="21"/>
                      <w:highlight w:val="none"/>
                      <w:vertAlign w:val="baseline"/>
                      <w:lang w:val="en-US" w:eastAsia="zh-CN"/>
                    </w:rPr>
                    <w:t>VOCs≤300g/L</w:t>
                  </w:r>
                </w:p>
              </w:tc>
              <w:tc>
                <w:tcPr>
                  <w:tcW w:w="785" w:type="dxa"/>
                  <w:shd w:val="clear" w:color="auto" w:fill="auto"/>
                  <w:noWrap w:val="0"/>
                  <w:vAlign w:val="center"/>
                </w:tcPr>
                <w:p w14:paraId="12E9F7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outlineLvl w:val="0"/>
                    <w:rPr>
                      <w:rFonts w:hint="default" w:ascii="Times New Roman" w:hAnsi="Times New Roman" w:eastAsia="宋体" w:cs="Times New Roman"/>
                      <w:b/>
                      <w:bCs/>
                      <w:color w:val="auto"/>
                      <w:kern w:val="0"/>
                      <w:sz w:val="21"/>
                      <w:szCs w:val="21"/>
                      <w:highlight w:val="none"/>
                      <w:vertAlign w:val="baseline"/>
                      <w:lang w:val="en-US" w:eastAsia="zh-CN" w:bidi="ar-SA"/>
                    </w:rPr>
                  </w:pPr>
                  <w:r>
                    <w:rPr>
                      <w:rFonts w:hint="eastAsia" w:ascii="Times New Roman" w:hAnsi="Times New Roman" w:eastAsia="宋体" w:cs="Times New Roman"/>
                      <w:b/>
                      <w:bCs/>
                      <w:color w:val="auto"/>
                      <w:kern w:val="0"/>
                      <w:szCs w:val="21"/>
                      <w:highlight w:val="none"/>
                      <w:vertAlign w:val="baseline"/>
                      <w:lang w:val="en-US" w:eastAsia="zh-CN"/>
                    </w:rPr>
                    <w:t>要求</w:t>
                  </w:r>
                </w:p>
              </w:tc>
              <w:tc>
                <w:tcPr>
                  <w:tcW w:w="4116" w:type="dxa"/>
                  <w:noWrap w:val="0"/>
                  <w:vAlign w:val="center"/>
                </w:tcPr>
                <w:p w14:paraId="79C9C4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eastAsia" w:ascii="Times New Roman" w:hAnsi="Times New Roman" w:eastAsia="宋体" w:cs="Times New Roman"/>
                      <w:b w:val="0"/>
                      <w:bCs w:val="0"/>
                      <w:color w:val="auto"/>
                      <w:kern w:val="0"/>
                      <w:szCs w:val="21"/>
                      <w:highlight w:val="none"/>
                      <w:vertAlign w:val="baseline"/>
                      <w:lang w:val="en-US" w:eastAsia="zh-CN"/>
                    </w:rPr>
                    <w:t>本项目所用的清洗剂为</w:t>
                  </w:r>
                  <w:r>
                    <w:rPr>
                      <w:rFonts w:hint="eastAsia" w:ascii="Times New Roman" w:hAnsi="Times New Roman" w:eastAsia="宋体" w:cs="Times New Roman"/>
                      <w:b/>
                      <w:bCs/>
                      <w:color w:val="auto"/>
                      <w:kern w:val="0"/>
                      <w:szCs w:val="21"/>
                      <w:highlight w:val="none"/>
                      <w:vertAlign w:val="baseline"/>
                      <w:lang w:val="en-US" w:eastAsia="zh-CN"/>
                    </w:rPr>
                    <w:t>半水基清洗剂</w:t>
                  </w:r>
                  <w:r>
                    <w:rPr>
                      <w:rFonts w:hint="eastAsia" w:ascii="Times New Roman" w:hAnsi="Times New Roman" w:eastAsia="宋体" w:cs="Times New Roman"/>
                      <w:b w:val="0"/>
                      <w:bCs w:val="0"/>
                      <w:color w:val="auto"/>
                      <w:kern w:val="0"/>
                      <w:szCs w:val="21"/>
                      <w:highlight w:val="none"/>
                      <w:vertAlign w:val="baseline"/>
                      <w:lang w:val="en-US" w:eastAsia="zh-CN"/>
                    </w:rPr>
                    <w:t>，VOCs为</w:t>
                  </w:r>
                  <w:r>
                    <w:rPr>
                      <w:rFonts w:hint="eastAsia" w:cs="Times New Roman"/>
                      <w:b w:val="0"/>
                      <w:bCs w:val="0"/>
                      <w:color w:val="auto"/>
                      <w:kern w:val="0"/>
                      <w:szCs w:val="21"/>
                      <w:highlight w:val="none"/>
                      <w:vertAlign w:val="baseline"/>
                      <w:lang w:val="en-US" w:eastAsia="zh-CN"/>
                    </w:rPr>
                    <w:t>83</w:t>
                  </w:r>
                  <w:r>
                    <w:rPr>
                      <w:rFonts w:hint="eastAsia" w:ascii="Times New Roman" w:hAnsi="Times New Roman" w:eastAsia="宋体" w:cs="Times New Roman"/>
                      <w:b w:val="0"/>
                      <w:bCs w:val="0"/>
                      <w:color w:val="auto"/>
                      <w:kern w:val="0"/>
                      <w:szCs w:val="21"/>
                      <w:highlight w:val="none"/>
                      <w:vertAlign w:val="baseline"/>
                      <w:lang w:val="en-US" w:eastAsia="zh-CN"/>
                    </w:rPr>
                    <w:t>g/L。符合要求。</w:t>
                  </w:r>
                </w:p>
              </w:tc>
            </w:tr>
            <w:tr w14:paraId="2AE9D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58" w:type="dxa"/>
                  <w:gridSpan w:val="4"/>
                  <w:noWrap w:val="0"/>
                  <w:vAlign w:val="center"/>
                </w:tcPr>
                <w:p w14:paraId="1038E9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eastAsia" w:ascii="Times New Roman" w:hAnsi="Times New Roman" w:eastAsia="宋体" w:cs="Times New Roman"/>
                      <w:b/>
                      <w:bCs/>
                      <w:color w:val="auto"/>
                      <w:kern w:val="0"/>
                      <w:szCs w:val="21"/>
                      <w:highlight w:val="none"/>
                      <w:vertAlign w:val="baseline"/>
                      <w:lang w:val="en-US" w:eastAsia="zh-CN"/>
                    </w:rPr>
                    <w:t>过程控制</w:t>
                  </w:r>
                </w:p>
              </w:tc>
            </w:tr>
            <w:tr w14:paraId="78D7A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1" w:type="dxa"/>
                  <w:vMerge w:val="restart"/>
                  <w:noWrap w:val="0"/>
                  <w:vAlign w:val="center"/>
                </w:tcPr>
                <w:p w14:paraId="3CA24E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eastAsia" w:ascii="Times New Roman" w:hAnsi="Times New Roman" w:eastAsia="宋体" w:cs="Times New Roman"/>
                      <w:b w:val="0"/>
                      <w:bCs w:val="0"/>
                      <w:color w:val="auto"/>
                      <w:kern w:val="0"/>
                      <w:szCs w:val="21"/>
                      <w:highlight w:val="none"/>
                      <w:vertAlign w:val="baseline"/>
                      <w:lang w:val="en-US" w:eastAsia="zh-CN"/>
                    </w:rPr>
                  </w:pPr>
                </w:p>
                <w:p w14:paraId="4E030A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eastAsia" w:ascii="Times New Roman" w:hAnsi="Times New Roman" w:eastAsia="宋体" w:cs="Times New Roman"/>
                      <w:b w:val="0"/>
                      <w:bCs w:val="0"/>
                      <w:color w:val="auto"/>
                      <w:kern w:val="0"/>
                      <w:szCs w:val="21"/>
                      <w:highlight w:val="none"/>
                      <w:vertAlign w:val="baseline"/>
                      <w:lang w:val="en-US" w:eastAsia="zh-CN"/>
                    </w:rPr>
                  </w:pPr>
                </w:p>
                <w:p w14:paraId="429C60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eastAsia" w:ascii="Times New Roman" w:hAnsi="Times New Roman" w:eastAsia="宋体" w:cs="Times New Roman"/>
                      <w:b w:val="0"/>
                      <w:bCs w:val="0"/>
                      <w:color w:val="auto"/>
                      <w:kern w:val="0"/>
                      <w:szCs w:val="21"/>
                      <w:highlight w:val="none"/>
                      <w:vertAlign w:val="baseline"/>
                      <w:lang w:val="en-US" w:eastAsia="zh-CN"/>
                    </w:rPr>
                  </w:pPr>
                </w:p>
                <w:p w14:paraId="320BF3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eastAsia" w:ascii="Times New Roman" w:hAnsi="Times New Roman" w:eastAsia="宋体" w:cs="Times New Roman"/>
                      <w:b w:val="0"/>
                      <w:bCs w:val="0"/>
                      <w:color w:val="auto"/>
                      <w:kern w:val="0"/>
                      <w:szCs w:val="21"/>
                      <w:highlight w:val="none"/>
                      <w:vertAlign w:val="baseline"/>
                      <w:lang w:val="en-US" w:eastAsia="zh-CN"/>
                    </w:rPr>
                  </w:pPr>
                </w:p>
                <w:p w14:paraId="4EE0D4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eastAsia" w:ascii="Times New Roman" w:hAnsi="Times New Roman" w:eastAsia="宋体" w:cs="Times New Roman"/>
                      <w:b w:val="0"/>
                      <w:bCs w:val="0"/>
                      <w:color w:val="auto"/>
                      <w:kern w:val="0"/>
                      <w:szCs w:val="21"/>
                      <w:highlight w:val="none"/>
                      <w:vertAlign w:val="baseline"/>
                      <w:lang w:val="en-US" w:eastAsia="zh-CN"/>
                    </w:rPr>
                  </w:pPr>
                </w:p>
                <w:p w14:paraId="68CCFD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eastAsia" w:ascii="Times New Roman" w:hAnsi="Times New Roman" w:eastAsia="宋体" w:cs="Times New Roman"/>
                      <w:b w:val="0"/>
                      <w:bCs w:val="0"/>
                      <w:color w:val="auto"/>
                      <w:kern w:val="0"/>
                      <w:szCs w:val="21"/>
                      <w:highlight w:val="none"/>
                      <w:vertAlign w:val="baseline"/>
                      <w:lang w:val="en-US" w:eastAsia="zh-CN"/>
                    </w:rPr>
                  </w:pPr>
                </w:p>
                <w:p w14:paraId="63729E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eastAsia" w:ascii="Times New Roman" w:hAnsi="Times New Roman" w:eastAsia="宋体" w:cs="Times New Roman"/>
                      <w:b w:val="0"/>
                      <w:bCs w:val="0"/>
                      <w:color w:val="auto"/>
                      <w:kern w:val="0"/>
                      <w:szCs w:val="21"/>
                      <w:highlight w:val="none"/>
                      <w:vertAlign w:val="baseline"/>
                      <w:lang w:val="en-US" w:eastAsia="zh-CN"/>
                    </w:rPr>
                  </w:pPr>
                </w:p>
                <w:p w14:paraId="21E9C6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eastAsia" w:ascii="Times New Roman" w:hAnsi="Times New Roman" w:eastAsia="宋体" w:cs="Times New Roman"/>
                      <w:b w:val="0"/>
                      <w:bCs w:val="0"/>
                      <w:color w:val="auto"/>
                      <w:kern w:val="0"/>
                      <w:szCs w:val="21"/>
                      <w:highlight w:val="none"/>
                      <w:vertAlign w:val="baseline"/>
                      <w:lang w:val="en-US" w:eastAsia="zh-CN"/>
                    </w:rPr>
                    <w:t>所有印刷生产类型</w:t>
                  </w:r>
                </w:p>
              </w:tc>
              <w:tc>
                <w:tcPr>
                  <w:tcW w:w="2506" w:type="dxa"/>
                  <w:noWrap w:val="0"/>
                  <w:vAlign w:val="center"/>
                </w:tcPr>
                <w:p w14:paraId="330BB0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eastAsia" w:ascii="Times New Roman" w:hAnsi="Times New Roman" w:eastAsia="宋体" w:cs="Times New Roman"/>
                      <w:b w:val="0"/>
                      <w:bCs w:val="0"/>
                      <w:color w:val="auto"/>
                      <w:kern w:val="0"/>
                      <w:szCs w:val="21"/>
                      <w:highlight w:val="none"/>
                      <w:vertAlign w:val="baseline"/>
                      <w:lang w:val="en-US" w:eastAsia="zh-CN"/>
                    </w:rPr>
                    <w:t>油墨、胶黏剂、清洗剂等含VOCs原辅材料存储、转移、放置密闭。</w:t>
                  </w:r>
                </w:p>
              </w:tc>
              <w:tc>
                <w:tcPr>
                  <w:tcW w:w="785" w:type="dxa"/>
                  <w:noWrap w:val="0"/>
                  <w:vAlign w:val="center"/>
                </w:tcPr>
                <w:p w14:paraId="41342F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eastAsia" w:ascii="Times New Roman" w:hAnsi="Times New Roman" w:eastAsia="宋体" w:cs="Times New Roman"/>
                      <w:b/>
                      <w:bCs/>
                      <w:color w:val="auto"/>
                      <w:kern w:val="0"/>
                      <w:szCs w:val="21"/>
                      <w:highlight w:val="none"/>
                      <w:vertAlign w:val="baseline"/>
                      <w:lang w:val="en-US" w:eastAsia="zh-CN"/>
                    </w:rPr>
                    <w:t>要求</w:t>
                  </w:r>
                </w:p>
              </w:tc>
              <w:tc>
                <w:tcPr>
                  <w:tcW w:w="4116" w:type="dxa"/>
                  <w:noWrap w:val="0"/>
                  <w:vAlign w:val="center"/>
                </w:tcPr>
                <w:p w14:paraId="1233C9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eastAsia" w:ascii="Times New Roman" w:hAnsi="Times New Roman" w:eastAsia="宋体" w:cs="Times New Roman"/>
                      <w:b w:val="0"/>
                      <w:bCs w:val="0"/>
                      <w:color w:val="auto"/>
                      <w:kern w:val="0"/>
                      <w:szCs w:val="21"/>
                      <w:highlight w:val="none"/>
                      <w:vertAlign w:val="baseline"/>
                      <w:lang w:val="en-US" w:eastAsia="zh-CN"/>
                    </w:rPr>
                    <w:t>本项目的油墨、胶黏剂、清洗剂未取用时，为密闭封盖状态，转移放置期间保持密闭状态，符合要求。</w:t>
                  </w:r>
                </w:p>
              </w:tc>
            </w:tr>
            <w:tr w14:paraId="63871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1" w:type="dxa"/>
                  <w:vMerge w:val="continue"/>
                  <w:noWrap w:val="0"/>
                  <w:vAlign w:val="center"/>
                </w:tcPr>
                <w:p w14:paraId="278863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p>
              </w:tc>
              <w:tc>
                <w:tcPr>
                  <w:tcW w:w="2506" w:type="dxa"/>
                  <w:noWrap w:val="0"/>
                  <w:vAlign w:val="center"/>
                </w:tcPr>
                <w:p w14:paraId="02C3B8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default" w:ascii="Times New Roman" w:hAnsi="Times New Roman" w:eastAsia="宋体" w:cs="Times New Roman"/>
                      <w:b w:val="0"/>
                      <w:bCs w:val="0"/>
                      <w:color w:val="auto"/>
                      <w:kern w:val="0"/>
                      <w:szCs w:val="21"/>
                      <w:highlight w:val="none"/>
                      <w:vertAlign w:val="baseline"/>
                      <w:lang w:val="en-US" w:eastAsia="zh-CN"/>
                    </w:rPr>
                    <w:t>调墨（胶）废气通过排气柜或集气罩收集。</w:t>
                  </w:r>
                </w:p>
              </w:tc>
              <w:tc>
                <w:tcPr>
                  <w:tcW w:w="785" w:type="dxa"/>
                  <w:noWrap w:val="0"/>
                  <w:vAlign w:val="center"/>
                </w:tcPr>
                <w:p w14:paraId="7446AF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bCs/>
                      <w:color w:val="auto"/>
                      <w:kern w:val="0"/>
                      <w:szCs w:val="21"/>
                      <w:highlight w:val="none"/>
                      <w:vertAlign w:val="baseline"/>
                      <w:lang w:val="en-US" w:eastAsia="zh-CN"/>
                    </w:rPr>
                  </w:pPr>
                  <w:r>
                    <w:rPr>
                      <w:rFonts w:hint="default" w:ascii="Times New Roman" w:hAnsi="Times New Roman" w:eastAsia="宋体" w:cs="Times New Roman"/>
                      <w:b/>
                      <w:bCs/>
                      <w:color w:val="auto"/>
                      <w:kern w:val="0"/>
                      <w:szCs w:val="21"/>
                      <w:highlight w:val="none"/>
                      <w:vertAlign w:val="baseline"/>
                      <w:lang w:val="en-US" w:eastAsia="zh-CN"/>
                    </w:rPr>
                    <w:t>要求</w:t>
                  </w:r>
                </w:p>
              </w:tc>
              <w:tc>
                <w:tcPr>
                  <w:tcW w:w="4116" w:type="dxa"/>
                  <w:noWrap w:val="0"/>
                  <w:vAlign w:val="center"/>
                </w:tcPr>
                <w:p w14:paraId="10703C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default" w:ascii="Times New Roman" w:hAnsi="Times New Roman" w:eastAsia="宋体" w:cs="Times New Roman"/>
                      <w:b w:val="0"/>
                      <w:bCs w:val="0"/>
                      <w:color w:val="auto"/>
                      <w:kern w:val="0"/>
                      <w:szCs w:val="21"/>
                      <w:highlight w:val="none"/>
                      <w:vertAlign w:val="baseline"/>
                      <w:lang w:val="en-US" w:eastAsia="zh-CN"/>
                    </w:rPr>
                    <w:t>本项目调墨区域位于印刷室内，</w:t>
                  </w:r>
                  <w:r>
                    <w:rPr>
                      <w:rFonts w:hint="eastAsia" w:cs="Times New Roman"/>
                      <w:b w:val="0"/>
                      <w:bCs w:val="0"/>
                      <w:color w:val="auto"/>
                      <w:kern w:val="0"/>
                      <w:szCs w:val="21"/>
                      <w:highlight w:val="none"/>
                      <w:vertAlign w:val="baseline"/>
                      <w:lang w:val="en-US" w:eastAsia="zh-CN"/>
                    </w:rPr>
                    <w:t>使用</w:t>
                  </w:r>
                  <w:r>
                    <w:rPr>
                      <w:rFonts w:hint="eastAsia" w:cs="Times New Roman"/>
                      <w:b w:val="0"/>
                      <w:bCs w:val="0"/>
                      <w:color w:val="auto"/>
                      <w:kern w:val="0"/>
                      <w:sz w:val="21"/>
                      <w:szCs w:val="21"/>
                      <w:highlight w:val="none"/>
                      <w:lang w:val="en-US" w:eastAsia="zh-CN" w:bidi="ar"/>
                    </w:rPr>
                    <w:t>高效集气罩</w:t>
                  </w:r>
                  <w:r>
                    <w:rPr>
                      <w:rFonts w:hint="default" w:ascii="Times New Roman" w:hAnsi="Times New Roman" w:eastAsia="宋体" w:cs="Times New Roman"/>
                      <w:b w:val="0"/>
                      <w:bCs w:val="0"/>
                      <w:color w:val="auto"/>
                      <w:kern w:val="0"/>
                      <w:szCs w:val="21"/>
                      <w:highlight w:val="none"/>
                      <w:vertAlign w:val="baseline"/>
                      <w:lang w:val="en-US" w:eastAsia="zh-CN"/>
                    </w:rPr>
                    <w:t>对废气进行收集。因此符合要求。</w:t>
                  </w:r>
                </w:p>
              </w:tc>
            </w:tr>
            <w:tr w14:paraId="6D3F8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1" w:type="dxa"/>
                  <w:vMerge w:val="continue"/>
                  <w:noWrap w:val="0"/>
                  <w:vAlign w:val="center"/>
                </w:tcPr>
                <w:p w14:paraId="1F8F21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p>
              </w:tc>
              <w:tc>
                <w:tcPr>
                  <w:tcW w:w="2506" w:type="dxa"/>
                  <w:noWrap w:val="0"/>
                  <w:vAlign w:val="center"/>
                </w:tcPr>
                <w:p w14:paraId="7BBA84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default" w:ascii="Times New Roman" w:hAnsi="Times New Roman" w:eastAsia="宋体" w:cs="Times New Roman"/>
                      <w:b w:val="0"/>
                      <w:bCs w:val="0"/>
                      <w:color w:val="auto"/>
                      <w:kern w:val="0"/>
                      <w:szCs w:val="21"/>
                      <w:highlight w:val="none"/>
                      <w:vertAlign w:val="baseline"/>
                      <w:lang w:val="en-US" w:eastAsia="zh-CN"/>
                    </w:rPr>
                    <w:t>印刷、烘干、覆膜、复合等涉 VOCs 排风的环节排风收集，采用密闭收集，或设置集气罩、排风管道组成的排气系统。</w:t>
                  </w:r>
                </w:p>
                <w:p w14:paraId="010B3F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p>
              </w:tc>
              <w:tc>
                <w:tcPr>
                  <w:tcW w:w="785" w:type="dxa"/>
                  <w:noWrap w:val="0"/>
                  <w:vAlign w:val="center"/>
                </w:tcPr>
                <w:p w14:paraId="7E368A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bCs/>
                      <w:color w:val="auto"/>
                      <w:kern w:val="0"/>
                      <w:szCs w:val="21"/>
                      <w:highlight w:val="none"/>
                      <w:vertAlign w:val="baseline"/>
                      <w:lang w:val="en-US" w:eastAsia="zh-CN"/>
                    </w:rPr>
                  </w:pPr>
                  <w:r>
                    <w:rPr>
                      <w:rFonts w:hint="default" w:ascii="Times New Roman" w:hAnsi="Times New Roman" w:eastAsia="宋体" w:cs="Times New Roman"/>
                      <w:b/>
                      <w:bCs/>
                      <w:color w:val="auto"/>
                      <w:kern w:val="0"/>
                      <w:szCs w:val="21"/>
                      <w:highlight w:val="none"/>
                      <w:vertAlign w:val="baseline"/>
                      <w:lang w:val="en-US" w:eastAsia="zh-CN"/>
                    </w:rPr>
                    <w:t>要求</w:t>
                  </w:r>
                </w:p>
              </w:tc>
              <w:tc>
                <w:tcPr>
                  <w:tcW w:w="4116" w:type="dxa"/>
                  <w:noWrap w:val="0"/>
                  <w:vAlign w:val="center"/>
                </w:tcPr>
                <w:p w14:paraId="4CC20F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default" w:ascii="Times New Roman" w:hAnsi="Times New Roman" w:eastAsia="宋体" w:cs="Times New Roman"/>
                      <w:b w:val="0"/>
                      <w:bCs w:val="0"/>
                      <w:color w:val="auto"/>
                      <w:kern w:val="0"/>
                      <w:szCs w:val="21"/>
                      <w:highlight w:val="none"/>
                      <w:vertAlign w:val="baseline"/>
                      <w:lang w:val="en-US" w:eastAsia="zh-CN"/>
                    </w:rPr>
                    <w:t>本项目印刷</w:t>
                  </w:r>
                  <w:r>
                    <w:rPr>
                      <w:rFonts w:hint="eastAsia" w:cs="Times New Roman"/>
                      <w:b w:val="0"/>
                      <w:bCs w:val="0"/>
                      <w:color w:val="auto"/>
                      <w:kern w:val="0"/>
                      <w:szCs w:val="21"/>
                      <w:highlight w:val="none"/>
                      <w:vertAlign w:val="baseline"/>
                      <w:lang w:val="en-US" w:eastAsia="zh-CN"/>
                    </w:rPr>
                    <w:t>机和</w:t>
                  </w:r>
                  <w:r>
                    <w:rPr>
                      <w:rFonts w:hint="default" w:ascii="Times New Roman" w:hAnsi="Times New Roman" w:eastAsia="宋体" w:cs="Times New Roman"/>
                      <w:b w:val="0"/>
                      <w:bCs w:val="0"/>
                      <w:color w:val="auto"/>
                      <w:kern w:val="0"/>
                      <w:szCs w:val="21"/>
                      <w:highlight w:val="none"/>
                      <w:vertAlign w:val="baseline"/>
                      <w:lang w:val="en-US" w:eastAsia="zh-CN"/>
                    </w:rPr>
                    <w:t>胶印机上方安装集气罩，强化废气收集效果</w:t>
                  </w:r>
                  <w:r>
                    <w:rPr>
                      <w:rFonts w:hint="eastAsia" w:cs="Times New Roman"/>
                      <w:b w:val="0"/>
                      <w:bCs w:val="0"/>
                      <w:color w:val="auto"/>
                      <w:kern w:val="0"/>
                      <w:szCs w:val="21"/>
                      <w:highlight w:val="none"/>
                      <w:vertAlign w:val="baseline"/>
                      <w:lang w:val="en-US" w:eastAsia="zh-CN"/>
                    </w:rPr>
                    <w:t>，</w:t>
                  </w:r>
                  <w:r>
                    <w:rPr>
                      <w:rFonts w:hint="default" w:ascii="Times New Roman" w:hAnsi="Times New Roman" w:eastAsia="宋体" w:cs="Times New Roman"/>
                      <w:b w:val="0"/>
                      <w:bCs w:val="0"/>
                      <w:color w:val="auto"/>
                      <w:kern w:val="0"/>
                      <w:szCs w:val="21"/>
                      <w:highlight w:val="none"/>
                      <w:vertAlign w:val="baseline"/>
                      <w:lang w:val="en-US" w:eastAsia="zh-CN"/>
                    </w:rPr>
                    <w:t>符合要求。</w:t>
                  </w:r>
                </w:p>
              </w:tc>
            </w:tr>
            <w:tr w14:paraId="11753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1" w:type="dxa"/>
                  <w:vMerge w:val="continue"/>
                  <w:noWrap w:val="0"/>
                  <w:vAlign w:val="center"/>
                </w:tcPr>
                <w:p w14:paraId="69541B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p>
              </w:tc>
              <w:tc>
                <w:tcPr>
                  <w:tcW w:w="2506" w:type="dxa"/>
                  <w:noWrap w:val="0"/>
                  <w:vAlign w:val="center"/>
                </w:tcPr>
                <w:p w14:paraId="42C860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生产车间进行负压改造或局部围风改造。</w:t>
                  </w:r>
                </w:p>
                <w:p w14:paraId="1D6582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color w:val="auto"/>
                      <w:highlight w:val="none"/>
                      <w:lang w:val="en-US" w:eastAsia="zh-CN"/>
                    </w:rPr>
                  </w:pPr>
                </w:p>
              </w:tc>
              <w:tc>
                <w:tcPr>
                  <w:tcW w:w="785" w:type="dxa"/>
                  <w:noWrap w:val="0"/>
                  <w:vAlign w:val="center"/>
                </w:tcPr>
                <w:p w14:paraId="794972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推荐</w:t>
                  </w:r>
                </w:p>
              </w:tc>
              <w:tc>
                <w:tcPr>
                  <w:tcW w:w="4116" w:type="dxa"/>
                  <w:noWrap w:val="0"/>
                  <w:vAlign w:val="center"/>
                </w:tcPr>
                <w:p w14:paraId="222B76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本项目对印刷车间进行</w:t>
                  </w:r>
                  <w:r>
                    <w:rPr>
                      <w:rFonts w:hint="eastAsia" w:cs="Times New Roman"/>
                      <w:b w:val="0"/>
                      <w:bCs w:val="0"/>
                      <w:color w:val="auto"/>
                      <w:kern w:val="0"/>
                      <w:szCs w:val="21"/>
                      <w:highlight w:val="none"/>
                      <w:vertAlign w:val="baseline"/>
                      <w:lang w:val="en-US" w:eastAsia="zh-CN"/>
                    </w:rPr>
                    <w:t>密闭车间+负压+</w:t>
                  </w:r>
                  <w:r>
                    <w:rPr>
                      <w:rFonts w:hint="eastAsia" w:cs="Times New Roman"/>
                      <w:color w:val="auto"/>
                      <w:highlight w:val="none"/>
                      <w:lang w:val="en-US" w:eastAsia="zh-CN"/>
                    </w:rPr>
                    <w:t>集气罩收集</w:t>
                  </w:r>
                  <w:r>
                    <w:rPr>
                      <w:rFonts w:hint="default" w:ascii="Times New Roman" w:hAnsi="Times New Roman" w:cs="Times New Roman"/>
                      <w:color w:val="auto"/>
                      <w:highlight w:val="none"/>
                      <w:lang w:val="en-US" w:eastAsia="zh-CN"/>
                    </w:rPr>
                    <w:t>，</w:t>
                  </w:r>
                  <w:r>
                    <w:rPr>
                      <w:rFonts w:hint="eastAsia" w:ascii="Times New Roman" w:hAnsi="Times New Roman" w:cs="Times New Roman"/>
                      <w:color w:val="auto"/>
                      <w:highlight w:val="none"/>
                      <w:lang w:val="en-US" w:eastAsia="zh-CN"/>
                    </w:rPr>
                    <w:t>属于文件的推荐措施</w:t>
                  </w:r>
                  <w:r>
                    <w:rPr>
                      <w:rFonts w:hint="default" w:ascii="Times New Roman" w:hAnsi="Times New Roman" w:cs="Times New Roman"/>
                      <w:color w:val="auto"/>
                      <w:highlight w:val="none"/>
                      <w:lang w:val="en-US" w:eastAsia="zh-CN"/>
                    </w:rPr>
                    <w:t>。</w:t>
                  </w:r>
                </w:p>
              </w:tc>
            </w:tr>
            <w:tr w14:paraId="37E00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1" w:type="dxa"/>
                  <w:vMerge w:val="continue"/>
                  <w:noWrap w:val="0"/>
                  <w:vAlign w:val="center"/>
                </w:tcPr>
                <w:p w14:paraId="291C8C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p>
              </w:tc>
              <w:tc>
                <w:tcPr>
                  <w:tcW w:w="2506" w:type="dxa"/>
                  <w:noWrap w:val="0"/>
                  <w:vAlign w:val="center"/>
                </w:tcPr>
                <w:p w14:paraId="732DF6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default" w:ascii="Times New Roman" w:hAnsi="Times New Roman" w:eastAsia="宋体" w:cs="Times New Roman"/>
                      <w:b w:val="0"/>
                      <w:bCs w:val="0"/>
                      <w:color w:val="auto"/>
                      <w:kern w:val="0"/>
                      <w:szCs w:val="21"/>
                      <w:highlight w:val="none"/>
                      <w:vertAlign w:val="baseline"/>
                      <w:lang w:val="en-US" w:eastAsia="zh-CN"/>
                    </w:rPr>
                    <w:t>使用溶剂型油墨、胶粘剂、涂料、光油、清洗剂等原辅材料的相关工序，采取整体或局部气体收集措施。</w:t>
                  </w:r>
                </w:p>
                <w:p w14:paraId="7E6743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p>
              </w:tc>
              <w:tc>
                <w:tcPr>
                  <w:tcW w:w="785" w:type="dxa"/>
                  <w:noWrap w:val="0"/>
                  <w:vAlign w:val="center"/>
                </w:tcPr>
                <w:p w14:paraId="1FA946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bCs/>
                      <w:color w:val="auto"/>
                      <w:kern w:val="0"/>
                      <w:szCs w:val="21"/>
                      <w:highlight w:val="none"/>
                      <w:vertAlign w:val="baseline"/>
                      <w:lang w:val="en-US" w:eastAsia="zh-CN"/>
                    </w:rPr>
                  </w:pPr>
                  <w:r>
                    <w:rPr>
                      <w:rFonts w:hint="default" w:ascii="Times New Roman" w:hAnsi="Times New Roman" w:eastAsia="宋体" w:cs="Times New Roman"/>
                      <w:b/>
                      <w:bCs/>
                      <w:color w:val="auto"/>
                      <w:kern w:val="0"/>
                      <w:szCs w:val="21"/>
                      <w:highlight w:val="none"/>
                      <w:vertAlign w:val="baseline"/>
                      <w:lang w:val="en-US" w:eastAsia="zh-CN"/>
                    </w:rPr>
                    <w:t>要求</w:t>
                  </w:r>
                </w:p>
              </w:tc>
              <w:tc>
                <w:tcPr>
                  <w:tcW w:w="4116" w:type="dxa"/>
                  <w:noWrap w:val="0"/>
                  <w:vAlign w:val="center"/>
                </w:tcPr>
                <w:p w14:paraId="010ECC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default" w:ascii="Times New Roman" w:hAnsi="Times New Roman" w:eastAsia="宋体" w:cs="Times New Roman"/>
                      <w:b w:val="0"/>
                      <w:bCs w:val="0"/>
                      <w:color w:val="auto"/>
                      <w:kern w:val="0"/>
                      <w:szCs w:val="21"/>
                      <w:highlight w:val="none"/>
                      <w:vertAlign w:val="baseline"/>
                      <w:lang w:val="en-US" w:eastAsia="zh-CN"/>
                    </w:rPr>
                    <w:t>本项目对印刷工序、上光油工序进行局部气体收集。符合要求</w:t>
                  </w:r>
                </w:p>
              </w:tc>
            </w:tr>
            <w:tr w14:paraId="127AD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1" w:type="dxa"/>
                  <w:vMerge w:val="continue"/>
                  <w:noWrap w:val="0"/>
                  <w:vAlign w:val="center"/>
                </w:tcPr>
                <w:p w14:paraId="3FAB59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p>
              </w:tc>
              <w:tc>
                <w:tcPr>
                  <w:tcW w:w="2506" w:type="dxa"/>
                  <w:noWrap w:val="0"/>
                  <w:vAlign w:val="center"/>
                </w:tcPr>
                <w:p w14:paraId="49DEB4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default" w:ascii="Times New Roman" w:hAnsi="Times New Roman" w:eastAsia="宋体" w:cs="Times New Roman"/>
                      <w:b w:val="0"/>
                      <w:bCs w:val="0"/>
                      <w:color w:val="auto"/>
                      <w:kern w:val="0"/>
                      <w:szCs w:val="21"/>
                      <w:highlight w:val="none"/>
                      <w:vertAlign w:val="baseline"/>
                      <w:lang w:val="en-US" w:eastAsia="zh-CN"/>
                    </w:rPr>
                    <w:t>废气收集系统应在负压</w:t>
                  </w:r>
                  <w:r>
                    <w:rPr>
                      <w:rFonts w:hint="default" w:ascii="Times New Roman" w:hAnsi="Times New Roman" w:cs="Times New Roman"/>
                      <w:color w:val="auto"/>
                      <w:highlight w:val="none"/>
                      <w:lang w:val="en-US" w:eastAsia="zh-CN"/>
                    </w:rPr>
                    <w:t>或局部围风</w:t>
                  </w:r>
                  <w:r>
                    <w:rPr>
                      <w:rFonts w:hint="default" w:ascii="Times New Roman" w:hAnsi="Times New Roman" w:eastAsia="宋体" w:cs="Times New Roman"/>
                      <w:b w:val="0"/>
                      <w:bCs w:val="0"/>
                      <w:color w:val="auto"/>
                      <w:kern w:val="0"/>
                      <w:szCs w:val="21"/>
                      <w:highlight w:val="none"/>
                      <w:vertAlign w:val="baseline"/>
                      <w:lang w:val="en-US" w:eastAsia="zh-CN"/>
                    </w:rPr>
                    <w:t>运行。</w:t>
                  </w:r>
                </w:p>
                <w:p w14:paraId="55C52C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p>
              </w:tc>
              <w:tc>
                <w:tcPr>
                  <w:tcW w:w="785" w:type="dxa"/>
                  <w:noWrap w:val="0"/>
                  <w:vAlign w:val="center"/>
                </w:tcPr>
                <w:p w14:paraId="4971FA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bCs/>
                      <w:color w:val="auto"/>
                      <w:kern w:val="0"/>
                      <w:szCs w:val="21"/>
                      <w:highlight w:val="none"/>
                      <w:vertAlign w:val="baseline"/>
                      <w:lang w:val="en-US" w:eastAsia="zh-CN"/>
                    </w:rPr>
                  </w:pPr>
                  <w:r>
                    <w:rPr>
                      <w:rFonts w:hint="default" w:ascii="Times New Roman" w:hAnsi="Times New Roman" w:eastAsia="宋体" w:cs="Times New Roman"/>
                      <w:b/>
                      <w:bCs/>
                      <w:color w:val="auto"/>
                      <w:kern w:val="0"/>
                      <w:szCs w:val="21"/>
                      <w:highlight w:val="none"/>
                      <w:vertAlign w:val="baseline"/>
                      <w:lang w:val="en-US" w:eastAsia="zh-CN"/>
                    </w:rPr>
                    <w:t>要求</w:t>
                  </w:r>
                </w:p>
              </w:tc>
              <w:tc>
                <w:tcPr>
                  <w:tcW w:w="4116" w:type="dxa"/>
                  <w:noWrap w:val="0"/>
                  <w:vAlign w:val="center"/>
                </w:tcPr>
                <w:p w14:paraId="73E660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default" w:ascii="Times New Roman" w:hAnsi="Times New Roman" w:eastAsia="宋体" w:cs="Times New Roman"/>
                      <w:b w:val="0"/>
                      <w:bCs w:val="0"/>
                      <w:color w:val="auto"/>
                      <w:kern w:val="0"/>
                      <w:szCs w:val="21"/>
                      <w:highlight w:val="none"/>
                      <w:vertAlign w:val="baseline"/>
                      <w:lang w:val="en-US" w:eastAsia="zh-CN"/>
                    </w:rPr>
                    <w:t>本评价要求，</w:t>
                  </w:r>
                  <w:r>
                    <w:rPr>
                      <w:rFonts w:hint="eastAsia" w:cs="Times New Roman"/>
                      <w:b w:val="0"/>
                      <w:bCs w:val="0"/>
                      <w:color w:val="auto"/>
                      <w:kern w:val="0"/>
                      <w:szCs w:val="21"/>
                      <w:highlight w:val="none"/>
                      <w:vertAlign w:val="baseline"/>
                      <w:lang w:val="en-US" w:eastAsia="zh-CN"/>
                    </w:rPr>
                    <w:t>印刷工艺产生的</w:t>
                  </w:r>
                  <w:r>
                    <w:rPr>
                      <w:rFonts w:hint="default" w:ascii="Times New Roman" w:hAnsi="Times New Roman" w:eastAsia="宋体" w:cs="Times New Roman"/>
                      <w:b w:val="0"/>
                      <w:bCs w:val="0"/>
                      <w:color w:val="auto"/>
                      <w:kern w:val="0"/>
                      <w:szCs w:val="21"/>
                      <w:highlight w:val="none"/>
                      <w:vertAlign w:val="baseline"/>
                      <w:lang w:val="en-US" w:eastAsia="zh-CN"/>
                    </w:rPr>
                    <w:t>有机废气</w:t>
                  </w:r>
                  <w:r>
                    <w:rPr>
                      <w:rFonts w:hint="eastAsia" w:cs="Times New Roman"/>
                      <w:b w:val="0"/>
                      <w:bCs w:val="0"/>
                      <w:color w:val="auto"/>
                      <w:kern w:val="0"/>
                      <w:szCs w:val="21"/>
                      <w:highlight w:val="none"/>
                      <w:vertAlign w:val="baseline"/>
                      <w:lang w:val="en-US" w:eastAsia="zh-CN"/>
                    </w:rPr>
                    <w:t>采样密闭车间+负压+</w:t>
                  </w:r>
                  <w:r>
                    <w:rPr>
                      <w:rFonts w:hint="eastAsia" w:cs="Times New Roman"/>
                      <w:color w:val="auto"/>
                      <w:highlight w:val="none"/>
                      <w:lang w:val="en-US" w:eastAsia="zh-CN"/>
                    </w:rPr>
                    <w:t>集气罩</w:t>
                  </w:r>
                  <w:r>
                    <w:rPr>
                      <w:rFonts w:hint="default" w:ascii="Times New Roman" w:hAnsi="Times New Roman" w:eastAsia="宋体" w:cs="Times New Roman"/>
                      <w:b w:val="0"/>
                      <w:bCs w:val="0"/>
                      <w:color w:val="auto"/>
                      <w:kern w:val="0"/>
                      <w:szCs w:val="21"/>
                      <w:highlight w:val="none"/>
                      <w:vertAlign w:val="baseline"/>
                      <w:lang w:val="en-US" w:eastAsia="zh-CN"/>
                    </w:rPr>
                    <w:t>收集。</w:t>
                  </w:r>
                </w:p>
              </w:tc>
            </w:tr>
            <w:tr w14:paraId="3782F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1" w:type="dxa"/>
                  <w:vMerge w:val="continue"/>
                  <w:noWrap w:val="0"/>
                  <w:vAlign w:val="center"/>
                </w:tcPr>
                <w:p w14:paraId="31DAE4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p>
              </w:tc>
              <w:tc>
                <w:tcPr>
                  <w:tcW w:w="2506" w:type="dxa"/>
                  <w:noWrap w:val="0"/>
                  <w:vAlign w:val="center"/>
                </w:tcPr>
                <w:p w14:paraId="1DB558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eastAsia" w:ascii="Times New Roman" w:hAnsi="Times New Roman" w:eastAsia="宋体" w:cs="Times New Roman"/>
                      <w:b w:val="0"/>
                      <w:bCs w:val="0"/>
                      <w:color w:val="auto"/>
                      <w:kern w:val="0"/>
                      <w:szCs w:val="21"/>
                      <w:highlight w:val="none"/>
                      <w:vertAlign w:val="baseline"/>
                      <w:lang w:val="en-US" w:eastAsia="zh-CN"/>
                    </w:rPr>
                    <w:t>集中清洗应在密闭装置或空间内进行，清洗工序产生的废气应通过废气收集系统收集</w:t>
                  </w:r>
                  <w:r>
                    <w:rPr>
                      <w:rFonts w:hint="eastAsia" w:ascii="Times New Roman" w:hAnsi="Times New Roman" w:eastAsia="宋体" w:cs="Times New Roman"/>
                      <w:b w:val="0"/>
                      <w:bCs w:val="0"/>
                      <w:color w:val="auto"/>
                      <w:kern w:val="0"/>
                      <w:szCs w:val="21"/>
                      <w:highlight w:val="none"/>
                      <w:vertAlign w:val="baseline"/>
                      <w:lang w:val="en-US" w:eastAsia="zh-CN"/>
                    </w:rPr>
                    <w:t>。</w:t>
                  </w:r>
                </w:p>
              </w:tc>
              <w:tc>
                <w:tcPr>
                  <w:tcW w:w="785" w:type="dxa"/>
                  <w:noWrap w:val="0"/>
                  <w:vAlign w:val="center"/>
                </w:tcPr>
                <w:p w14:paraId="48740E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bCs/>
                      <w:color w:val="auto"/>
                      <w:kern w:val="0"/>
                      <w:szCs w:val="21"/>
                      <w:highlight w:val="none"/>
                      <w:vertAlign w:val="baseline"/>
                      <w:lang w:val="en-US" w:eastAsia="zh-CN"/>
                    </w:rPr>
                  </w:pPr>
                  <w:r>
                    <w:rPr>
                      <w:rFonts w:hint="eastAsia" w:ascii="Times New Roman" w:hAnsi="Times New Roman" w:eastAsia="宋体" w:cs="Times New Roman"/>
                      <w:b/>
                      <w:bCs/>
                      <w:color w:val="auto"/>
                      <w:kern w:val="0"/>
                      <w:szCs w:val="21"/>
                      <w:highlight w:val="none"/>
                      <w:vertAlign w:val="baseline"/>
                      <w:lang w:val="en-US" w:eastAsia="zh-CN"/>
                    </w:rPr>
                    <w:t>要求</w:t>
                  </w:r>
                </w:p>
              </w:tc>
              <w:tc>
                <w:tcPr>
                  <w:tcW w:w="4116" w:type="dxa"/>
                  <w:noWrap w:val="0"/>
                  <w:vAlign w:val="center"/>
                </w:tcPr>
                <w:p w14:paraId="02E133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eastAsia" w:ascii="Times New Roman" w:hAnsi="Times New Roman" w:eastAsia="宋体" w:cs="Times New Roman"/>
                      <w:b w:val="0"/>
                      <w:bCs w:val="0"/>
                      <w:color w:val="auto"/>
                      <w:kern w:val="0"/>
                      <w:szCs w:val="21"/>
                      <w:highlight w:val="none"/>
                      <w:vertAlign w:val="baseline"/>
                      <w:lang w:val="en-US" w:eastAsia="zh-CN"/>
                    </w:rPr>
                    <w:t>清洗工序位于印刷</w:t>
                  </w:r>
                  <w:r>
                    <w:rPr>
                      <w:rFonts w:hint="eastAsia" w:cs="Times New Roman"/>
                      <w:b w:val="0"/>
                      <w:bCs w:val="0"/>
                      <w:color w:val="auto"/>
                      <w:kern w:val="0"/>
                      <w:szCs w:val="21"/>
                      <w:highlight w:val="none"/>
                      <w:vertAlign w:val="baseline"/>
                      <w:lang w:val="en-US" w:eastAsia="zh-CN"/>
                    </w:rPr>
                    <w:t>车间</w:t>
                  </w:r>
                  <w:r>
                    <w:rPr>
                      <w:rFonts w:hint="eastAsia" w:ascii="Times New Roman" w:hAnsi="Times New Roman" w:eastAsia="宋体" w:cs="Times New Roman"/>
                      <w:b w:val="0"/>
                      <w:bCs w:val="0"/>
                      <w:color w:val="auto"/>
                      <w:kern w:val="0"/>
                      <w:szCs w:val="21"/>
                      <w:highlight w:val="none"/>
                      <w:vertAlign w:val="baseline"/>
                      <w:lang w:val="en-US" w:eastAsia="zh-CN"/>
                    </w:rPr>
                    <w:t>，采取</w:t>
                  </w:r>
                  <w:r>
                    <w:rPr>
                      <w:rFonts w:hint="eastAsia" w:cs="Times New Roman"/>
                      <w:b w:val="0"/>
                      <w:bCs w:val="0"/>
                      <w:color w:val="auto"/>
                      <w:kern w:val="0"/>
                      <w:szCs w:val="21"/>
                      <w:highlight w:val="none"/>
                      <w:vertAlign w:val="baseline"/>
                      <w:lang w:val="en-US" w:eastAsia="zh-CN"/>
                    </w:rPr>
                    <w:t>密闭车间+负压+</w:t>
                  </w:r>
                  <w:r>
                    <w:rPr>
                      <w:rFonts w:hint="eastAsia" w:cs="Times New Roman"/>
                      <w:color w:val="auto"/>
                      <w:highlight w:val="none"/>
                      <w:lang w:val="en-US" w:eastAsia="zh-CN"/>
                    </w:rPr>
                    <w:t>集气罩</w:t>
                  </w:r>
                  <w:r>
                    <w:rPr>
                      <w:rFonts w:hint="eastAsia" w:ascii="Times New Roman" w:hAnsi="Times New Roman" w:eastAsia="宋体" w:cs="Times New Roman"/>
                      <w:b w:val="0"/>
                      <w:bCs w:val="0"/>
                      <w:color w:val="auto"/>
                      <w:kern w:val="0"/>
                      <w:szCs w:val="21"/>
                      <w:highlight w:val="none"/>
                      <w:vertAlign w:val="baseline"/>
                      <w:lang w:val="en-US" w:eastAsia="zh-CN"/>
                    </w:rPr>
                    <w:t>收集，因此清洗产生的废气引至废气系统处理</w:t>
                  </w:r>
                  <w:r>
                    <w:rPr>
                      <w:rFonts w:hint="eastAsia" w:cs="Times New Roman"/>
                      <w:b w:val="0"/>
                      <w:bCs w:val="0"/>
                      <w:color w:val="auto"/>
                      <w:kern w:val="0"/>
                      <w:szCs w:val="21"/>
                      <w:highlight w:val="none"/>
                      <w:vertAlign w:val="baseline"/>
                      <w:lang w:val="en-US" w:eastAsia="zh-CN"/>
                    </w:rPr>
                    <w:t>，</w:t>
                  </w:r>
                  <w:r>
                    <w:rPr>
                      <w:rFonts w:hint="eastAsia" w:ascii="Times New Roman" w:hAnsi="Times New Roman" w:eastAsia="宋体" w:cs="Times New Roman"/>
                      <w:b w:val="0"/>
                      <w:bCs w:val="0"/>
                      <w:color w:val="auto"/>
                      <w:kern w:val="0"/>
                      <w:szCs w:val="21"/>
                      <w:highlight w:val="none"/>
                      <w:vertAlign w:val="baseline"/>
                      <w:lang w:val="en-US" w:eastAsia="zh-CN"/>
                    </w:rPr>
                    <w:t>符合要求</w:t>
                  </w:r>
                  <w:r>
                    <w:rPr>
                      <w:rFonts w:hint="eastAsia" w:cs="Times New Roman"/>
                      <w:b w:val="0"/>
                      <w:bCs w:val="0"/>
                      <w:color w:val="auto"/>
                      <w:kern w:val="0"/>
                      <w:szCs w:val="21"/>
                      <w:highlight w:val="none"/>
                      <w:vertAlign w:val="baseline"/>
                      <w:lang w:val="en-US" w:eastAsia="zh-CN"/>
                    </w:rPr>
                    <w:t>。</w:t>
                  </w:r>
                </w:p>
              </w:tc>
            </w:tr>
            <w:tr w14:paraId="4092B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1" w:type="dxa"/>
                  <w:vMerge w:val="continue"/>
                  <w:noWrap w:val="0"/>
                  <w:vAlign w:val="center"/>
                </w:tcPr>
                <w:p w14:paraId="6D062C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p>
              </w:tc>
              <w:tc>
                <w:tcPr>
                  <w:tcW w:w="2506" w:type="dxa"/>
                  <w:noWrap w:val="0"/>
                  <w:vAlign w:val="center"/>
                </w:tcPr>
                <w:p w14:paraId="7F421B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eastAsia" w:ascii="Times New Roman" w:hAnsi="Times New Roman" w:eastAsia="宋体" w:cs="Times New Roman"/>
                      <w:b w:val="0"/>
                      <w:bCs w:val="0"/>
                      <w:color w:val="auto"/>
                      <w:kern w:val="0"/>
                      <w:szCs w:val="21"/>
                      <w:highlight w:val="none"/>
                      <w:vertAlign w:val="baseline"/>
                      <w:lang w:val="en-US" w:eastAsia="zh-CN"/>
                    </w:rPr>
                  </w:pPr>
                  <w:r>
                    <w:rPr>
                      <w:rFonts w:hint="eastAsia" w:ascii="Times New Roman" w:hAnsi="Times New Roman" w:eastAsia="宋体" w:cs="Times New Roman"/>
                      <w:b w:val="0"/>
                      <w:bCs w:val="0"/>
                      <w:color w:val="auto"/>
                      <w:kern w:val="0"/>
                      <w:szCs w:val="21"/>
                      <w:highlight w:val="none"/>
                      <w:vertAlign w:val="baseline"/>
                      <w:lang w:val="en-US" w:eastAsia="zh-CN"/>
                    </w:rPr>
                    <w:t>印刷机检维修和清洗时应及时清墨，油墨回收。</w:t>
                  </w:r>
                </w:p>
                <w:p w14:paraId="41747D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p>
              </w:tc>
              <w:tc>
                <w:tcPr>
                  <w:tcW w:w="785" w:type="dxa"/>
                  <w:noWrap w:val="0"/>
                  <w:vAlign w:val="center"/>
                </w:tcPr>
                <w:p w14:paraId="04FAF2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bCs/>
                      <w:color w:val="auto"/>
                      <w:kern w:val="0"/>
                      <w:szCs w:val="21"/>
                      <w:highlight w:val="none"/>
                      <w:vertAlign w:val="baseline"/>
                      <w:lang w:val="en-US" w:eastAsia="zh-CN"/>
                    </w:rPr>
                  </w:pPr>
                  <w:r>
                    <w:rPr>
                      <w:rFonts w:hint="eastAsia" w:ascii="Times New Roman" w:hAnsi="Times New Roman" w:eastAsia="宋体" w:cs="Times New Roman"/>
                      <w:b/>
                      <w:bCs/>
                      <w:color w:val="auto"/>
                      <w:kern w:val="0"/>
                      <w:szCs w:val="21"/>
                      <w:highlight w:val="none"/>
                      <w:vertAlign w:val="baseline"/>
                      <w:lang w:val="en-US" w:eastAsia="zh-CN"/>
                    </w:rPr>
                    <w:t>要求</w:t>
                  </w:r>
                </w:p>
              </w:tc>
              <w:tc>
                <w:tcPr>
                  <w:tcW w:w="4116" w:type="dxa"/>
                  <w:noWrap w:val="0"/>
                  <w:vAlign w:val="center"/>
                </w:tcPr>
                <w:p w14:paraId="7D929E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eastAsia" w:ascii="Times New Roman" w:hAnsi="Times New Roman" w:eastAsia="宋体" w:cs="Times New Roman"/>
                      <w:b w:val="0"/>
                      <w:bCs w:val="0"/>
                      <w:color w:val="auto"/>
                      <w:kern w:val="0"/>
                      <w:szCs w:val="21"/>
                      <w:highlight w:val="none"/>
                      <w:vertAlign w:val="baseline"/>
                      <w:lang w:val="en-US" w:eastAsia="zh-CN"/>
                    </w:rPr>
                    <w:t>项目维修以及清洗产生的废液作为危废处理。符合要求。</w:t>
                  </w:r>
                </w:p>
              </w:tc>
            </w:tr>
            <w:tr w14:paraId="7BFE6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1" w:type="dxa"/>
                  <w:noWrap w:val="0"/>
                  <w:vAlign w:val="center"/>
                </w:tcPr>
                <w:p w14:paraId="362368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eastAsia" w:ascii="Times New Roman" w:hAnsi="Times New Roman" w:eastAsia="宋体" w:cs="Times New Roman"/>
                      <w:b w:val="0"/>
                      <w:bCs w:val="0"/>
                      <w:color w:val="auto"/>
                      <w:kern w:val="0"/>
                      <w:szCs w:val="21"/>
                      <w:highlight w:val="none"/>
                      <w:vertAlign w:val="baseline"/>
                      <w:lang w:val="en-US" w:eastAsia="zh-CN"/>
                    </w:rPr>
                    <w:t>胶印</w:t>
                  </w:r>
                </w:p>
              </w:tc>
              <w:tc>
                <w:tcPr>
                  <w:tcW w:w="2506" w:type="dxa"/>
                  <w:noWrap w:val="0"/>
                  <w:vAlign w:val="center"/>
                </w:tcPr>
                <w:p w14:paraId="58EAD3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outlineLvl w:val="0"/>
                    <w:rPr>
                      <w:rFonts w:hint="eastAsia" w:ascii="Times New Roman" w:hAnsi="Times New Roman" w:eastAsia="宋体" w:cs="Times New Roman"/>
                      <w:b/>
                      <w:bCs/>
                      <w:color w:val="auto"/>
                      <w:kern w:val="0"/>
                      <w:szCs w:val="21"/>
                      <w:highlight w:val="none"/>
                      <w:vertAlign w:val="baseline"/>
                      <w:lang w:val="en-US" w:eastAsia="zh-CN"/>
                    </w:rPr>
                  </w:pPr>
                  <w:r>
                    <w:rPr>
                      <w:rFonts w:hint="eastAsia" w:ascii="Times New Roman" w:hAnsi="Times New Roman" w:eastAsia="宋体" w:cs="Times New Roman"/>
                      <w:b/>
                      <w:bCs/>
                      <w:color w:val="auto"/>
                      <w:kern w:val="0"/>
                      <w:szCs w:val="21"/>
                      <w:highlight w:val="none"/>
                      <w:vertAlign w:val="baseline"/>
                      <w:lang w:val="en-US" w:eastAsia="zh-CN"/>
                    </w:rPr>
                    <w:t>采用自动橡皮布清洗技术。</w:t>
                  </w:r>
                </w:p>
                <w:p w14:paraId="18FCA0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p>
              </w:tc>
              <w:tc>
                <w:tcPr>
                  <w:tcW w:w="785" w:type="dxa"/>
                  <w:noWrap w:val="0"/>
                  <w:vAlign w:val="center"/>
                </w:tcPr>
                <w:p w14:paraId="67D20D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推荐</w:t>
                  </w:r>
                </w:p>
              </w:tc>
              <w:tc>
                <w:tcPr>
                  <w:tcW w:w="4116" w:type="dxa"/>
                  <w:noWrap w:val="0"/>
                  <w:vAlign w:val="center"/>
                </w:tcPr>
                <w:p w14:paraId="6300E8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项目胶印机拟安装自动橡胶布清洗技术，属于文件的推荐措施之一。</w:t>
                  </w:r>
                </w:p>
              </w:tc>
            </w:tr>
            <w:tr w14:paraId="18D8E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58" w:type="dxa"/>
                  <w:gridSpan w:val="4"/>
                  <w:noWrap w:val="0"/>
                  <w:vAlign w:val="center"/>
                </w:tcPr>
                <w:p w14:paraId="040419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eastAsia" w:ascii="Times New Roman" w:hAnsi="Times New Roman" w:eastAsia="宋体" w:cs="Times New Roman"/>
                      <w:b/>
                      <w:bCs/>
                      <w:color w:val="auto"/>
                      <w:kern w:val="0"/>
                      <w:szCs w:val="21"/>
                      <w:highlight w:val="none"/>
                      <w:vertAlign w:val="baseline"/>
                      <w:lang w:val="en-US" w:eastAsia="zh-CN"/>
                    </w:rPr>
                    <w:t>末端治理</w:t>
                  </w:r>
                </w:p>
              </w:tc>
            </w:tr>
            <w:tr w14:paraId="22CC0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1" w:type="dxa"/>
                  <w:noWrap w:val="0"/>
                  <w:vAlign w:val="center"/>
                </w:tcPr>
                <w:p w14:paraId="143C37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eastAsia" w:ascii="Times New Roman" w:hAnsi="Times New Roman" w:eastAsia="宋体" w:cs="Times New Roman"/>
                      <w:b w:val="0"/>
                      <w:bCs w:val="0"/>
                      <w:color w:val="auto"/>
                      <w:kern w:val="0"/>
                      <w:szCs w:val="21"/>
                      <w:highlight w:val="none"/>
                      <w:vertAlign w:val="baseline"/>
                      <w:lang w:val="en-US" w:eastAsia="zh-CN"/>
                    </w:rPr>
                  </w:pPr>
                  <w:r>
                    <w:rPr>
                      <w:rFonts w:hint="eastAsia" w:ascii="Times New Roman" w:hAnsi="Times New Roman" w:eastAsia="宋体" w:cs="Times New Roman"/>
                      <w:b w:val="0"/>
                      <w:bCs w:val="0"/>
                      <w:color w:val="auto"/>
                      <w:kern w:val="0"/>
                      <w:szCs w:val="21"/>
                      <w:highlight w:val="none"/>
                      <w:vertAlign w:val="baseline"/>
                      <w:lang w:val="en-US" w:eastAsia="zh-CN"/>
                    </w:rPr>
                    <w:t>排放</w:t>
                  </w:r>
                </w:p>
                <w:p w14:paraId="6FCB79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eastAsia" w:ascii="Times New Roman" w:hAnsi="Times New Roman" w:eastAsia="宋体" w:cs="Times New Roman"/>
                      <w:b w:val="0"/>
                      <w:bCs w:val="0"/>
                      <w:color w:val="auto"/>
                      <w:kern w:val="0"/>
                      <w:szCs w:val="21"/>
                      <w:highlight w:val="none"/>
                      <w:vertAlign w:val="baseline"/>
                      <w:lang w:val="en-US" w:eastAsia="zh-CN"/>
                    </w:rPr>
                    <w:t>水平</w:t>
                  </w:r>
                </w:p>
              </w:tc>
              <w:tc>
                <w:tcPr>
                  <w:tcW w:w="2506" w:type="dxa"/>
                  <w:noWrap w:val="0"/>
                  <w:vAlign w:val="center"/>
                </w:tcPr>
                <w:p w14:paraId="3F7D043D">
                  <w:pPr>
                    <w:keepNext w:val="0"/>
                    <w:keepLines w:val="0"/>
                    <w:widowControl/>
                    <w:numPr>
                      <w:ilvl w:val="0"/>
                      <w:numId w:val="2"/>
                    </w:numPr>
                    <w:suppressLineNumbers w:val="0"/>
                    <w:spacing w:before="0" w:beforeAutospacing="0" w:after="0" w:afterAutospacing="0"/>
                    <w:ind w:left="0" w:right="0"/>
                    <w:jc w:val="both"/>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有机废气排气筒排放浓度符合《挥发性有机化合物排放标准》（DB 44 815-2010）第Ⅱ时段排放限值要求，若国家和我省出台并实施适用于包装印刷业的大气污染物排放标准，则应满足相应排放标准要求；车间或生产设施排气中 NMHC初始排放速率≥3 kg/h时，建设VOCs 处理设施且处理效率≥80%。</w:t>
                  </w:r>
                </w:p>
                <w:p w14:paraId="25947DB1">
                  <w:pPr>
                    <w:keepNext w:val="0"/>
                    <w:keepLines w:val="0"/>
                    <w:widowControl/>
                    <w:numPr>
                      <w:ilvl w:val="0"/>
                      <w:numId w:val="2"/>
                    </w:numPr>
                    <w:suppressLineNumbers w:val="0"/>
                    <w:spacing w:before="0" w:beforeAutospacing="0" w:after="0" w:afterAutospacing="0"/>
                    <w:ind w:left="0" w:right="0"/>
                    <w:jc w:val="both"/>
                    <w:rPr>
                      <w:rFonts w:hint="default" w:ascii="Times New Roman" w:hAnsi="Times New Roman" w:eastAsia="宋体" w:cs="Times New Roman"/>
                      <w:b w:val="0"/>
                      <w:bCs w:val="0"/>
                      <w:color w:val="auto"/>
                      <w:kern w:val="0"/>
                      <w:szCs w:val="21"/>
                      <w:highlight w:val="none"/>
                      <w:vertAlign w:val="baseline"/>
                      <w:lang w:val="en-US" w:eastAsia="zh-CN"/>
                    </w:rPr>
                  </w:pPr>
                  <w:r>
                    <w:rPr>
                      <w:rFonts w:hint="default" w:ascii="Times New Roman" w:hAnsi="Times New Roman" w:eastAsia="宋体" w:cs="Times New Roman"/>
                      <w:color w:val="auto"/>
                      <w:kern w:val="0"/>
                      <w:sz w:val="21"/>
                      <w:szCs w:val="21"/>
                      <w:highlight w:val="none"/>
                      <w:lang w:val="en-US" w:eastAsia="zh-CN" w:bidi="ar"/>
                    </w:rPr>
                    <w:t>厂区内无组织排放监控点 NMHC 的小时平均浓度值不超过 6 mg/m</w:t>
                  </w:r>
                  <w:r>
                    <w:rPr>
                      <w:rFonts w:hint="default" w:ascii="Times New Roman" w:hAnsi="Times New Roman" w:eastAsia="宋体" w:cs="Times New Roman"/>
                      <w:color w:val="auto"/>
                      <w:kern w:val="0"/>
                      <w:sz w:val="21"/>
                      <w:szCs w:val="21"/>
                      <w:highlight w:val="none"/>
                      <w:vertAlign w:val="superscript"/>
                      <w:lang w:val="en-US" w:eastAsia="zh-CN" w:bidi="ar"/>
                    </w:rPr>
                    <w:t>3</w:t>
                  </w:r>
                  <w:r>
                    <w:rPr>
                      <w:rFonts w:hint="default" w:ascii="Times New Roman" w:hAnsi="Times New Roman" w:eastAsia="宋体" w:cs="Times New Roman"/>
                      <w:color w:val="auto"/>
                      <w:kern w:val="0"/>
                      <w:sz w:val="21"/>
                      <w:szCs w:val="21"/>
                      <w:highlight w:val="none"/>
                      <w:lang w:val="en-US" w:eastAsia="zh-CN" w:bidi="ar"/>
                    </w:rPr>
                    <w:t>，任意一次浓度值不超过20mg/m</w:t>
                  </w:r>
                  <w:r>
                    <w:rPr>
                      <w:rFonts w:hint="default" w:ascii="Times New Roman" w:hAnsi="Times New Roman" w:eastAsia="宋体" w:cs="Times New Roman"/>
                      <w:color w:val="auto"/>
                      <w:kern w:val="0"/>
                      <w:sz w:val="21"/>
                      <w:szCs w:val="21"/>
                      <w:highlight w:val="none"/>
                      <w:vertAlign w:val="superscript"/>
                      <w:lang w:val="en-US" w:eastAsia="zh-CN" w:bidi="ar"/>
                    </w:rPr>
                    <w:t>3</w:t>
                  </w:r>
                  <w:r>
                    <w:rPr>
                      <w:rFonts w:hint="default" w:ascii="Times New Roman" w:hAnsi="Times New Roman" w:eastAsia="宋体" w:cs="Times New Roman"/>
                      <w:color w:val="auto"/>
                      <w:kern w:val="0"/>
                      <w:sz w:val="21"/>
                      <w:szCs w:val="21"/>
                      <w:highlight w:val="none"/>
                      <w:lang w:val="en-US" w:eastAsia="zh-CN" w:bidi="ar"/>
                    </w:rPr>
                    <w:t>。</w:t>
                  </w:r>
                </w:p>
              </w:tc>
              <w:tc>
                <w:tcPr>
                  <w:tcW w:w="785" w:type="dxa"/>
                  <w:noWrap w:val="0"/>
                  <w:vAlign w:val="center"/>
                </w:tcPr>
                <w:p w14:paraId="69362EBF">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eastAsia" w:ascii="Times New Roman" w:hAnsi="Times New Roman" w:eastAsia="宋体" w:cs="Times New Roman"/>
                      <w:b/>
                      <w:bCs/>
                      <w:color w:val="auto"/>
                      <w:kern w:val="0"/>
                      <w:szCs w:val="21"/>
                      <w:highlight w:val="none"/>
                      <w:vertAlign w:val="baseline"/>
                      <w:lang w:val="en-US" w:eastAsia="zh-CN"/>
                    </w:rPr>
                    <w:t>要求</w:t>
                  </w:r>
                </w:p>
              </w:tc>
              <w:tc>
                <w:tcPr>
                  <w:tcW w:w="4116" w:type="dxa"/>
                  <w:noWrap w:val="0"/>
                  <w:vAlign w:val="center"/>
                </w:tcPr>
                <w:p w14:paraId="5EFED13A">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both"/>
                    <w:textAlignment w:val="auto"/>
                    <w:outlineLvl w:val="0"/>
                    <w:rPr>
                      <w:rFonts w:hint="eastAsia" w:ascii="Times New Roman" w:hAnsi="Times New Roman" w:eastAsia="宋体" w:cs="Times New Roman"/>
                      <w:b w:val="0"/>
                      <w:bCs w:val="0"/>
                      <w:color w:val="auto"/>
                      <w:kern w:val="0"/>
                      <w:szCs w:val="21"/>
                      <w:highlight w:val="none"/>
                      <w:vertAlign w:val="baseline"/>
                      <w:lang w:val="en-US" w:eastAsia="zh-CN"/>
                    </w:rPr>
                  </w:pPr>
                  <w:r>
                    <w:rPr>
                      <w:rFonts w:hint="eastAsia" w:cs="Times New Roman"/>
                      <w:b w:val="0"/>
                      <w:bCs w:val="0"/>
                      <w:color w:val="auto"/>
                      <w:kern w:val="0"/>
                      <w:szCs w:val="21"/>
                      <w:highlight w:val="none"/>
                      <w:vertAlign w:val="baseline"/>
                      <w:lang w:val="en-US" w:eastAsia="zh-CN"/>
                    </w:rPr>
                    <w:t>1.</w:t>
                  </w:r>
                  <w:r>
                    <w:rPr>
                      <w:rFonts w:hint="eastAsia" w:ascii="Times New Roman" w:hAnsi="Times New Roman" w:eastAsia="宋体" w:cs="Times New Roman"/>
                      <w:b w:val="0"/>
                      <w:bCs w:val="0"/>
                      <w:color w:val="auto"/>
                      <w:kern w:val="0"/>
                      <w:szCs w:val="21"/>
                      <w:highlight w:val="none"/>
                      <w:vertAlign w:val="baseline"/>
                      <w:lang w:val="en-US" w:eastAsia="zh-CN"/>
                    </w:rPr>
                    <w:t>本项目总VOCs排放浓度及速率执行广东省《印刷行业挥发性有机化合物排放标准》（DB44/815-2010）表2平版印刷（不含以金属、陶瓷、玻璃为承印物的平版印刷）第Ⅱ时段排放限值（总VOCs排放浓度≤80mg/m³，排放速率≤5.1kg/h）；NMHC排放浓度执行《印刷工业大气污染物排放标准》（GB41616-2022）表1大气污染物排放限值（NMHC≤70mg/m³）；项目有机废气经“两级活性炭吸附装置”处理后，总VOCs排放浓度为0.</w:t>
                  </w:r>
                  <w:r>
                    <w:rPr>
                      <w:rFonts w:hint="eastAsia" w:cs="Times New Roman"/>
                      <w:b w:val="0"/>
                      <w:bCs w:val="0"/>
                      <w:color w:val="auto"/>
                      <w:kern w:val="0"/>
                      <w:szCs w:val="21"/>
                      <w:highlight w:val="none"/>
                      <w:vertAlign w:val="baseline"/>
                      <w:lang w:val="en-US" w:eastAsia="zh-CN"/>
                    </w:rPr>
                    <w:t>91</w:t>
                  </w:r>
                  <w:r>
                    <w:rPr>
                      <w:rFonts w:hint="eastAsia" w:ascii="Times New Roman" w:hAnsi="Times New Roman" w:eastAsia="宋体" w:cs="Times New Roman"/>
                      <w:b w:val="0"/>
                      <w:bCs w:val="0"/>
                      <w:color w:val="auto"/>
                      <w:kern w:val="0"/>
                      <w:szCs w:val="21"/>
                      <w:highlight w:val="none"/>
                      <w:vertAlign w:val="baseline"/>
                      <w:lang w:val="en-US" w:eastAsia="zh-CN"/>
                    </w:rPr>
                    <w:t>mg/m³，排放速率为0.00</w:t>
                  </w:r>
                  <w:r>
                    <w:rPr>
                      <w:rFonts w:hint="eastAsia" w:cs="Times New Roman"/>
                      <w:b w:val="0"/>
                      <w:bCs w:val="0"/>
                      <w:color w:val="auto"/>
                      <w:kern w:val="0"/>
                      <w:szCs w:val="21"/>
                      <w:highlight w:val="none"/>
                      <w:vertAlign w:val="baseline"/>
                      <w:lang w:val="en-US" w:eastAsia="zh-CN"/>
                    </w:rPr>
                    <w:t>73</w:t>
                  </w:r>
                  <w:r>
                    <w:rPr>
                      <w:rFonts w:hint="eastAsia" w:ascii="Times New Roman" w:hAnsi="Times New Roman" w:eastAsia="宋体" w:cs="Times New Roman"/>
                      <w:b w:val="0"/>
                      <w:bCs w:val="0"/>
                      <w:color w:val="auto"/>
                      <w:kern w:val="0"/>
                      <w:szCs w:val="21"/>
                      <w:highlight w:val="none"/>
                      <w:vertAlign w:val="baseline"/>
                      <w:lang w:val="en-US" w:eastAsia="zh-CN"/>
                    </w:rPr>
                    <w:t>kg/h，均远低于DB44/815-2010第Ⅱ时段排放限值要求；NMHC排放浓度为0.10mg/m³，低于GB41616-2022表1限值要求。项目有机废气经集气罩收集进入处理设施前的NMHC初始排放速率为0.0</w:t>
                  </w:r>
                  <w:r>
                    <w:rPr>
                      <w:rFonts w:hint="eastAsia" w:cs="Times New Roman"/>
                      <w:b w:val="0"/>
                      <w:bCs w:val="0"/>
                      <w:color w:val="auto"/>
                      <w:kern w:val="0"/>
                      <w:szCs w:val="21"/>
                      <w:highlight w:val="none"/>
                      <w:vertAlign w:val="baseline"/>
                      <w:lang w:val="en-US" w:eastAsia="zh-CN"/>
                    </w:rPr>
                    <w:t>364</w:t>
                  </w:r>
                  <w:r>
                    <w:rPr>
                      <w:rFonts w:hint="eastAsia" w:ascii="Times New Roman" w:hAnsi="Times New Roman" w:eastAsia="宋体" w:cs="Times New Roman"/>
                      <w:b w:val="0"/>
                      <w:bCs w:val="0"/>
                      <w:color w:val="auto"/>
                      <w:kern w:val="0"/>
                      <w:szCs w:val="21"/>
                      <w:highlight w:val="none"/>
                      <w:vertAlign w:val="baseline"/>
                      <w:lang w:val="en-US" w:eastAsia="zh-CN"/>
                    </w:rPr>
                    <w:t>kg/h远低于3kg/h的阈值要求，因此本项目不需要因初始排放速率达标而强制要求处理效率≥80%；尽管本项目NMHC初始排放速率远低于3kg/h，但企业主动采取更高标准的环保治理措施，仍建设了“两级活性炭吸附装置”对有机废气进行处理，设计处理效率达80%。该措施优于指引的基本要求，体现了企业对VOCs深度治理的积极态度，符合《广东省生态环境保护“十四五”规划》中“全面推进涉VOCs排放企业深度治理”的要求。</w:t>
                  </w:r>
                </w:p>
                <w:p w14:paraId="076001E9">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both"/>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eastAsia" w:cs="Times New Roman"/>
                      <w:b w:val="0"/>
                      <w:bCs w:val="0"/>
                      <w:color w:val="auto"/>
                      <w:kern w:val="0"/>
                      <w:szCs w:val="21"/>
                      <w:highlight w:val="none"/>
                      <w:vertAlign w:val="baseline"/>
                      <w:lang w:val="en-US" w:eastAsia="zh-CN"/>
                    </w:rPr>
                    <w:t>2.</w:t>
                  </w:r>
                  <w:r>
                    <w:rPr>
                      <w:rFonts w:hint="eastAsia" w:ascii="Times New Roman" w:hAnsi="Times New Roman" w:eastAsia="宋体" w:cs="Times New Roman"/>
                      <w:b w:val="0"/>
                      <w:bCs w:val="0"/>
                      <w:color w:val="auto"/>
                      <w:kern w:val="0"/>
                      <w:szCs w:val="21"/>
                      <w:highlight w:val="none"/>
                      <w:vertAlign w:val="baseline"/>
                      <w:lang w:val="en-US" w:eastAsia="zh-CN"/>
                    </w:rPr>
                    <w:t>厂区内无组织排放监控要求：本项目厂区内NMHC无组织排放监控点浓度执行《印刷工业大气污染物排放标准》（GB41616-2022）附录A表A.1厂区内VOCs无组织排放限值，同时满足广东省地方标准《固定污染源挥发性有机物综合排放标准》（DB44/2367-2022）表3厂区内VOCs无组织排放限值要求，即监控点处1小时平均浓度值≤6mg/m³，监控点处任意一次浓度值≤20mg/m³。通过加强车间密闭管理、规范含VOCs物料的存储和转运，以及高效的集气罩收集措施（收集效率30%），本项目厂区内无组织排放可满足上述标准要求。</w:t>
                  </w:r>
                </w:p>
              </w:tc>
            </w:tr>
            <w:tr w14:paraId="4C6A3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1" w:type="dxa"/>
                  <w:noWrap w:val="0"/>
                  <w:vAlign w:val="center"/>
                </w:tcPr>
                <w:p w14:paraId="1977A5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eastAsia" w:ascii="Times New Roman" w:hAnsi="Times New Roman" w:eastAsia="宋体" w:cs="Times New Roman"/>
                      <w:b w:val="0"/>
                      <w:bCs w:val="0"/>
                      <w:color w:val="auto"/>
                      <w:kern w:val="0"/>
                      <w:szCs w:val="21"/>
                      <w:highlight w:val="none"/>
                      <w:vertAlign w:val="baseline"/>
                      <w:lang w:val="en-US" w:eastAsia="zh-CN"/>
                    </w:rPr>
                  </w:pPr>
                  <w:r>
                    <w:rPr>
                      <w:rFonts w:hint="eastAsia" w:cs="Times New Roman"/>
                      <w:b w:val="0"/>
                      <w:bCs w:val="0"/>
                      <w:color w:val="auto"/>
                      <w:kern w:val="0"/>
                      <w:szCs w:val="21"/>
                      <w:highlight w:val="none"/>
                      <w:vertAlign w:val="baseline"/>
                      <w:lang w:val="en-US" w:eastAsia="zh-CN"/>
                    </w:rPr>
                    <w:t>治理设施设计与运行管理</w:t>
                  </w:r>
                </w:p>
              </w:tc>
              <w:tc>
                <w:tcPr>
                  <w:tcW w:w="2506" w:type="dxa"/>
                  <w:noWrap w:val="0"/>
                  <w:vAlign w:val="center"/>
                </w:tcPr>
                <w:p w14:paraId="68D34299">
                  <w:pPr>
                    <w:keepNext w:val="0"/>
                    <w:keepLines w:val="0"/>
                    <w:widowControl/>
                    <w:numPr>
                      <w:ilvl w:val="0"/>
                      <w:numId w:val="0"/>
                    </w:numPr>
                    <w:suppressLineNumbers w:val="0"/>
                    <w:spacing w:before="0" w:beforeAutospacing="0" w:after="0" w:afterAutospacing="0"/>
                    <w:ind w:right="0" w:rightChars="0"/>
                    <w:jc w:val="both"/>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1. 采用吸附法的，应按照《吸附法工业有机废气治理工程技术规范》（HJ 2026-2013）进行设计、建设与运行管理；</w:t>
                  </w:r>
                </w:p>
                <w:p w14:paraId="3D39820B">
                  <w:pPr>
                    <w:keepNext w:val="0"/>
                    <w:keepLines w:val="0"/>
                    <w:widowControl/>
                    <w:numPr>
                      <w:ilvl w:val="0"/>
                      <w:numId w:val="0"/>
                    </w:numPr>
                    <w:suppressLineNumbers w:val="0"/>
                    <w:spacing w:before="0" w:beforeAutospacing="0" w:after="0" w:afterAutospacing="0"/>
                    <w:ind w:right="0" w:rightChars="0"/>
                    <w:jc w:val="both"/>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2. 废气收集处理系统应与生产工艺设备同步运行；废气处理设施发生故障或检修时，对应的生产工艺设备应停止运行，待检修完毕后同步投入使用；</w:t>
                  </w:r>
                </w:p>
                <w:p w14:paraId="02E52E7A">
                  <w:pPr>
                    <w:keepNext w:val="0"/>
                    <w:keepLines w:val="0"/>
                    <w:widowControl/>
                    <w:numPr>
                      <w:ilvl w:val="0"/>
                      <w:numId w:val="0"/>
                    </w:numPr>
                    <w:suppressLineNumbers w:val="0"/>
                    <w:spacing w:before="0" w:beforeAutospacing="0" w:after="0" w:afterAutospacing="0"/>
                    <w:ind w:right="0" w:rightChars="0"/>
                    <w:jc w:val="both"/>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3. 定期更换活性炭，并做好更换记录</w:t>
                  </w:r>
                </w:p>
              </w:tc>
              <w:tc>
                <w:tcPr>
                  <w:tcW w:w="785" w:type="dxa"/>
                  <w:noWrap w:val="0"/>
                  <w:vAlign w:val="center"/>
                </w:tcPr>
                <w:p w14:paraId="6CBA1237">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Cs w:val="21"/>
                      <w:highlight w:val="none"/>
                      <w:vertAlign w:val="baseline"/>
                      <w:lang w:val="en-US" w:eastAsia="zh-CN"/>
                    </w:rPr>
                  </w:pPr>
                  <w:r>
                    <w:rPr>
                      <w:rFonts w:hint="eastAsia" w:cs="Times New Roman"/>
                      <w:b w:val="0"/>
                      <w:bCs w:val="0"/>
                      <w:color w:val="auto"/>
                      <w:kern w:val="0"/>
                      <w:szCs w:val="21"/>
                      <w:highlight w:val="none"/>
                      <w:vertAlign w:val="baseline"/>
                      <w:lang w:val="en-US" w:eastAsia="zh-CN"/>
                    </w:rPr>
                    <w:t>要求</w:t>
                  </w:r>
                </w:p>
              </w:tc>
              <w:tc>
                <w:tcPr>
                  <w:tcW w:w="4116" w:type="dxa"/>
                  <w:noWrap w:val="0"/>
                  <w:vAlign w:val="center"/>
                </w:tcPr>
                <w:p w14:paraId="31385747">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both"/>
                    <w:textAlignment w:val="auto"/>
                    <w:outlineLvl w:val="0"/>
                    <w:rPr>
                      <w:rFonts w:hint="eastAsia" w:cs="Times New Roman"/>
                      <w:b w:val="0"/>
                      <w:bCs w:val="0"/>
                      <w:color w:val="auto"/>
                      <w:kern w:val="0"/>
                      <w:szCs w:val="21"/>
                      <w:highlight w:val="none"/>
                      <w:vertAlign w:val="baseline"/>
                      <w:lang w:val="en-US" w:eastAsia="zh-CN"/>
                    </w:rPr>
                  </w:pPr>
                  <w:r>
                    <w:rPr>
                      <w:rFonts w:hint="eastAsia" w:cs="Times New Roman"/>
                      <w:b w:val="0"/>
                      <w:bCs w:val="0"/>
                      <w:color w:val="auto"/>
                      <w:kern w:val="0"/>
                      <w:szCs w:val="21"/>
                      <w:highlight w:val="none"/>
                      <w:vertAlign w:val="baseline"/>
                      <w:lang w:val="en-US" w:eastAsia="zh-CN"/>
                    </w:rPr>
                    <w:t>1. 本项目采用“两级活性炭吸附装置”，按照HJ 2026-2013进行设计建设。设计参数：过滤风速0.589m/s（＜0.6m/s），炭层厚度300mm，碘值800mg/g，停留时间1.018s，符合规范要求。</w:t>
                  </w:r>
                </w:p>
                <w:p w14:paraId="5A879D97">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both"/>
                    <w:textAlignment w:val="auto"/>
                    <w:outlineLvl w:val="0"/>
                    <w:rPr>
                      <w:rFonts w:hint="eastAsia" w:cs="Times New Roman"/>
                      <w:b w:val="0"/>
                      <w:bCs w:val="0"/>
                      <w:color w:val="auto"/>
                      <w:kern w:val="0"/>
                      <w:szCs w:val="21"/>
                      <w:highlight w:val="none"/>
                      <w:vertAlign w:val="baseline"/>
                      <w:lang w:val="en-US" w:eastAsia="zh-CN"/>
                    </w:rPr>
                  </w:pPr>
                  <w:r>
                    <w:rPr>
                      <w:rFonts w:hint="eastAsia" w:cs="Times New Roman"/>
                      <w:b w:val="0"/>
                      <w:bCs w:val="0"/>
                      <w:color w:val="auto"/>
                      <w:kern w:val="0"/>
                      <w:szCs w:val="21"/>
                      <w:highlight w:val="none"/>
                      <w:vertAlign w:val="baseline"/>
                      <w:lang w:val="en-US" w:eastAsia="zh-CN"/>
                    </w:rPr>
                    <w:t>2. 评价要求VOCs废气收集处理系统与生产工艺设备同步运行；废气处理设施发生故障或检修时，对应产污工序立即停止运行。</w:t>
                  </w:r>
                </w:p>
                <w:p w14:paraId="635F4F13">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both"/>
                    <w:textAlignment w:val="auto"/>
                    <w:outlineLvl w:val="0"/>
                    <w:rPr>
                      <w:rFonts w:hint="eastAsia" w:cs="Times New Roman"/>
                      <w:b w:val="0"/>
                      <w:bCs w:val="0"/>
                      <w:color w:val="auto"/>
                      <w:kern w:val="0"/>
                      <w:szCs w:val="21"/>
                      <w:highlight w:val="none"/>
                      <w:vertAlign w:val="baseline"/>
                      <w:lang w:val="en-US" w:eastAsia="zh-CN"/>
                    </w:rPr>
                  </w:pPr>
                  <w:r>
                    <w:rPr>
                      <w:rFonts w:hint="eastAsia" w:cs="Times New Roman"/>
                      <w:b w:val="0"/>
                      <w:bCs w:val="0"/>
                      <w:color w:val="auto"/>
                      <w:kern w:val="0"/>
                      <w:szCs w:val="21"/>
                      <w:highlight w:val="none"/>
                      <w:vertAlign w:val="baseline"/>
                      <w:lang w:val="en-US" w:eastAsia="zh-CN"/>
                    </w:rPr>
                    <w:t>3. 活性炭每年更换1次（共1.131t/次），并建立更换记录台账。</w:t>
                  </w:r>
                </w:p>
              </w:tc>
            </w:tr>
            <w:tr w14:paraId="312F2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1" w:type="dxa"/>
                  <w:noWrap w:val="0"/>
                  <w:vAlign w:val="center"/>
                </w:tcPr>
                <w:p w14:paraId="7F99E0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eastAsia" w:cs="Times New Roman"/>
                      <w:b w:val="0"/>
                      <w:bCs w:val="0"/>
                      <w:color w:val="auto"/>
                      <w:kern w:val="0"/>
                      <w:szCs w:val="21"/>
                      <w:highlight w:val="none"/>
                      <w:vertAlign w:val="baseline"/>
                      <w:lang w:val="en-US" w:eastAsia="zh-CN"/>
                    </w:rPr>
                  </w:pPr>
                  <w:r>
                    <w:rPr>
                      <w:rFonts w:hint="eastAsia" w:cs="Times New Roman"/>
                      <w:b w:val="0"/>
                      <w:bCs w:val="0"/>
                      <w:color w:val="auto"/>
                      <w:kern w:val="0"/>
                      <w:szCs w:val="21"/>
                      <w:highlight w:val="none"/>
                      <w:vertAlign w:val="baseline"/>
                      <w:lang w:val="en-US" w:eastAsia="zh-CN"/>
                    </w:rPr>
                    <w:t>管理</w:t>
                  </w:r>
                </w:p>
                <w:p w14:paraId="0DEB23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eastAsia" w:cs="Times New Roman"/>
                      <w:b w:val="0"/>
                      <w:bCs w:val="0"/>
                      <w:color w:val="auto"/>
                      <w:kern w:val="0"/>
                      <w:szCs w:val="21"/>
                      <w:highlight w:val="none"/>
                      <w:vertAlign w:val="baseline"/>
                      <w:lang w:val="en-US" w:eastAsia="zh-CN"/>
                    </w:rPr>
                  </w:pPr>
                  <w:r>
                    <w:rPr>
                      <w:rFonts w:hint="eastAsia" w:cs="Times New Roman"/>
                      <w:b w:val="0"/>
                      <w:bCs w:val="0"/>
                      <w:color w:val="auto"/>
                      <w:kern w:val="0"/>
                      <w:szCs w:val="21"/>
                      <w:highlight w:val="none"/>
                      <w:vertAlign w:val="baseline"/>
                      <w:lang w:val="en-US" w:eastAsia="zh-CN"/>
                    </w:rPr>
                    <w:t>台账</w:t>
                  </w:r>
                </w:p>
              </w:tc>
              <w:tc>
                <w:tcPr>
                  <w:tcW w:w="2506" w:type="dxa"/>
                  <w:noWrap w:val="0"/>
                  <w:vAlign w:val="center"/>
                </w:tcPr>
                <w:p w14:paraId="2F0CC037">
                  <w:pPr>
                    <w:keepNext w:val="0"/>
                    <w:keepLines w:val="0"/>
                    <w:widowControl/>
                    <w:numPr>
                      <w:ilvl w:val="0"/>
                      <w:numId w:val="0"/>
                    </w:numPr>
                    <w:suppressLineNumbers w:val="0"/>
                    <w:spacing w:before="0" w:beforeAutospacing="0" w:after="0" w:afterAutospacing="0"/>
                    <w:ind w:right="0" w:rightChars="0"/>
                    <w:jc w:val="both"/>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1. 建立含VOCs原辅材料台账，记录含VOCs原辅材料的名称、使用量、回收量、废弃量、去向以及VOCs含量等信息；</w:t>
                  </w:r>
                </w:p>
                <w:p w14:paraId="79229364">
                  <w:pPr>
                    <w:keepNext w:val="0"/>
                    <w:keepLines w:val="0"/>
                    <w:widowControl/>
                    <w:numPr>
                      <w:ilvl w:val="0"/>
                      <w:numId w:val="0"/>
                    </w:numPr>
                    <w:suppressLineNumbers w:val="0"/>
                    <w:spacing w:before="0" w:beforeAutospacing="0" w:after="0" w:afterAutospacing="0"/>
                    <w:ind w:right="0" w:rightChars="0"/>
                    <w:jc w:val="both"/>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2. 建立废气收集处理设施台账，记录废气处理设施运行时间、废气处理量、活性炭更换周期和更换量等关键运行参数；</w:t>
                  </w:r>
                </w:p>
                <w:p w14:paraId="623065DE">
                  <w:pPr>
                    <w:keepNext w:val="0"/>
                    <w:keepLines w:val="0"/>
                    <w:widowControl/>
                    <w:numPr>
                      <w:ilvl w:val="0"/>
                      <w:numId w:val="0"/>
                    </w:numPr>
                    <w:suppressLineNumbers w:val="0"/>
                    <w:spacing w:before="0" w:beforeAutospacing="0" w:after="0" w:afterAutospacing="0"/>
                    <w:ind w:right="0" w:rightChars="0"/>
                    <w:jc w:val="both"/>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3. 台账保存期限不少于3年。</w:t>
                  </w:r>
                </w:p>
              </w:tc>
              <w:tc>
                <w:tcPr>
                  <w:tcW w:w="785" w:type="dxa"/>
                  <w:noWrap w:val="0"/>
                  <w:vAlign w:val="center"/>
                </w:tcPr>
                <w:p w14:paraId="735A44FD">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outlineLvl w:val="0"/>
                    <w:rPr>
                      <w:rFonts w:hint="eastAsia" w:cs="Times New Roman"/>
                      <w:b w:val="0"/>
                      <w:bCs w:val="0"/>
                      <w:color w:val="auto"/>
                      <w:kern w:val="0"/>
                      <w:szCs w:val="21"/>
                      <w:highlight w:val="none"/>
                      <w:vertAlign w:val="baseline"/>
                      <w:lang w:val="en-US" w:eastAsia="zh-CN"/>
                    </w:rPr>
                  </w:pPr>
                  <w:r>
                    <w:rPr>
                      <w:rFonts w:hint="eastAsia" w:cs="Times New Roman"/>
                      <w:b w:val="0"/>
                      <w:bCs w:val="0"/>
                      <w:color w:val="auto"/>
                      <w:kern w:val="0"/>
                      <w:szCs w:val="21"/>
                      <w:highlight w:val="none"/>
                      <w:vertAlign w:val="baseline"/>
                      <w:lang w:val="en-US" w:eastAsia="zh-CN"/>
                    </w:rPr>
                    <w:t>要求</w:t>
                  </w:r>
                </w:p>
              </w:tc>
              <w:tc>
                <w:tcPr>
                  <w:tcW w:w="4116" w:type="dxa"/>
                  <w:noWrap w:val="0"/>
                  <w:vAlign w:val="center"/>
                </w:tcPr>
                <w:p w14:paraId="70F404CE">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both"/>
                    <w:textAlignment w:val="auto"/>
                    <w:outlineLvl w:val="0"/>
                    <w:rPr>
                      <w:rFonts w:hint="eastAsia" w:cs="Times New Roman"/>
                      <w:b w:val="0"/>
                      <w:bCs w:val="0"/>
                      <w:color w:val="auto"/>
                      <w:kern w:val="0"/>
                      <w:szCs w:val="21"/>
                      <w:highlight w:val="none"/>
                      <w:vertAlign w:val="baseline"/>
                      <w:lang w:val="en-US" w:eastAsia="zh-CN"/>
                    </w:rPr>
                  </w:pPr>
                  <w:r>
                    <w:rPr>
                      <w:rFonts w:hint="eastAsia" w:cs="Times New Roman"/>
                      <w:b w:val="0"/>
                      <w:bCs w:val="0"/>
                      <w:color w:val="auto"/>
                      <w:kern w:val="0"/>
                      <w:szCs w:val="21"/>
                      <w:highlight w:val="none"/>
                      <w:vertAlign w:val="baseline"/>
                      <w:lang w:val="en-US" w:eastAsia="zh-CN"/>
                    </w:rPr>
                    <w:t>1. 本环评要求企业建立含VOCs原辅材料台账，记录大豆油墨、水性光油、封口胶、清洗剂、润版液、天那水等物料的名称、使用量、回收量、废弃量、去向及VOCs含量等信息。</w:t>
                  </w:r>
                </w:p>
                <w:p w14:paraId="54234C90">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both"/>
                    <w:textAlignment w:val="auto"/>
                    <w:outlineLvl w:val="0"/>
                    <w:rPr>
                      <w:rFonts w:hint="eastAsia" w:cs="Times New Roman"/>
                      <w:b w:val="0"/>
                      <w:bCs w:val="0"/>
                      <w:color w:val="auto"/>
                      <w:kern w:val="0"/>
                      <w:szCs w:val="21"/>
                      <w:highlight w:val="none"/>
                      <w:vertAlign w:val="baseline"/>
                      <w:lang w:val="en-US" w:eastAsia="zh-CN"/>
                    </w:rPr>
                  </w:pPr>
                  <w:r>
                    <w:rPr>
                      <w:rFonts w:hint="eastAsia" w:cs="Times New Roman"/>
                      <w:b w:val="0"/>
                      <w:bCs w:val="0"/>
                      <w:color w:val="auto"/>
                      <w:kern w:val="0"/>
                      <w:szCs w:val="21"/>
                      <w:highlight w:val="none"/>
                      <w:vertAlign w:val="baseline"/>
                      <w:lang w:val="en-US" w:eastAsia="zh-CN"/>
                    </w:rPr>
                    <w:t>2. 建立废气处理设施运行台账，记录两级活性炭吸附装置的运行时间、废气处理量、活性炭更换周期（4次/年）和更换量（4.524t/年）等参数。</w:t>
                  </w:r>
                </w:p>
                <w:p w14:paraId="6830C7C0">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both"/>
                    <w:textAlignment w:val="auto"/>
                    <w:outlineLvl w:val="0"/>
                    <w:rPr>
                      <w:rFonts w:hint="eastAsia" w:cs="Times New Roman"/>
                      <w:b w:val="0"/>
                      <w:bCs w:val="0"/>
                      <w:color w:val="auto"/>
                      <w:kern w:val="0"/>
                      <w:szCs w:val="21"/>
                      <w:highlight w:val="none"/>
                      <w:vertAlign w:val="baseline"/>
                      <w:lang w:val="en-US" w:eastAsia="zh-CN"/>
                    </w:rPr>
                  </w:pPr>
                  <w:r>
                    <w:rPr>
                      <w:rFonts w:hint="eastAsia" w:cs="Times New Roman"/>
                      <w:b w:val="0"/>
                      <w:bCs w:val="0"/>
                      <w:color w:val="auto"/>
                      <w:kern w:val="0"/>
                      <w:szCs w:val="21"/>
                      <w:highlight w:val="none"/>
                      <w:vertAlign w:val="baseline"/>
                      <w:lang w:val="en-US" w:eastAsia="zh-CN"/>
                    </w:rPr>
                    <w:t>3. 依据《排污许可管理办法》，台账记录保存期限不少于5年，优于指引要求。</w:t>
                  </w:r>
                </w:p>
              </w:tc>
            </w:tr>
            <w:tr w14:paraId="7523B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1" w:type="dxa"/>
                  <w:noWrap w:val="0"/>
                  <w:vAlign w:val="center"/>
                </w:tcPr>
                <w:p w14:paraId="26C798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自行</w:t>
                  </w:r>
                </w:p>
                <w:p w14:paraId="5D0686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eastAsia" w:cs="Times New Roman"/>
                      <w:b w:val="0"/>
                      <w:bCs w:val="0"/>
                      <w:color w:val="auto"/>
                      <w:kern w:val="0"/>
                      <w:szCs w:val="21"/>
                      <w:highlight w:val="none"/>
                      <w:vertAlign w:val="baseline"/>
                      <w:lang w:val="en-US" w:eastAsia="zh-CN"/>
                    </w:rPr>
                  </w:pPr>
                  <w:r>
                    <w:rPr>
                      <w:rFonts w:hint="default" w:ascii="Times New Roman" w:hAnsi="Times New Roman" w:eastAsia="宋体" w:cs="Times New Roman"/>
                      <w:b w:val="0"/>
                      <w:bCs w:val="0"/>
                      <w:color w:val="auto"/>
                      <w:kern w:val="0"/>
                      <w:sz w:val="21"/>
                      <w:szCs w:val="21"/>
                      <w:highlight w:val="none"/>
                      <w:lang w:val="en-US" w:eastAsia="zh-CN" w:bidi="ar"/>
                    </w:rPr>
                    <w:t>监测</w:t>
                  </w:r>
                </w:p>
              </w:tc>
              <w:tc>
                <w:tcPr>
                  <w:tcW w:w="2506" w:type="dxa"/>
                  <w:noWrap w:val="0"/>
                  <w:vAlign w:val="center"/>
                </w:tcPr>
                <w:p w14:paraId="1DF82D60">
                  <w:pPr>
                    <w:keepNext w:val="0"/>
                    <w:keepLines w:val="0"/>
                    <w:widowControl/>
                    <w:numPr>
                      <w:ilvl w:val="0"/>
                      <w:numId w:val="0"/>
                    </w:numPr>
                    <w:suppressLineNumbers w:val="0"/>
                    <w:spacing w:before="0" w:beforeAutospacing="0" w:after="0" w:afterAutospacing="0"/>
                    <w:ind w:right="0" w:rightChars="0"/>
                    <w:jc w:val="both"/>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1. 按照排污许可证规定的监测点位、监测因子、监测频次开展自行监测并保存原始监测记录；</w:t>
                  </w:r>
                </w:p>
                <w:p w14:paraId="2EDF03D4">
                  <w:pPr>
                    <w:keepNext w:val="0"/>
                    <w:keepLines w:val="0"/>
                    <w:widowControl/>
                    <w:numPr>
                      <w:ilvl w:val="0"/>
                      <w:numId w:val="0"/>
                    </w:numPr>
                    <w:suppressLineNumbers w:val="0"/>
                    <w:spacing w:before="0" w:beforeAutospacing="0" w:after="0" w:afterAutospacing="0"/>
                    <w:ind w:right="0" w:rightChars="0"/>
                    <w:jc w:val="both"/>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2. 排气筒应设置规范的监测口及监测平台。</w:t>
                  </w:r>
                </w:p>
              </w:tc>
              <w:tc>
                <w:tcPr>
                  <w:tcW w:w="785" w:type="dxa"/>
                  <w:noWrap w:val="0"/>
                  <w:vAlign w:val="center"/>
                </w:tcPr>
                <w:p w14:paraId="21AA7E68">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outlineLvl w:val="0"/>
                    <w:rPr>
                      <w:rFonts w:hint="eastAsia" w:cs="Times New Roman"/>
                      <w:b w:val="0"/>
                      <w:bCs w:val="0"/>
                      <w:color w:val="auto"/>
                      <w:kern w:val="0"/>
                      <w:szCs w:val="21"/>
                      <w:highlight w:val="none"/>
                      <w:vertAlign w:val="baseline"/>
                      <w:lang w:val="en-US" w:eastAsia="zh-CN"/>
                    </w:rPr>
                  </w:pPr>
                  <w:r>
                    <w:rPr>
                      <w:rFonts w:hint="eastAsia" w:cs="Times New Roman"/>
                      <w:b w:val="0"/>
                      <w:bCs w:val="0"/>
                      <w:color w:val="auto"/>
                      <w:kern w:val="0"/>
                      <w:szCs w:val="21"/>
                      <w:highlight w:val="none"/>
                      <w:vertAlign w:val="baseline"/>
                      <w:lang w:val="en-US" w:eastAsia="zh-CN"/>
                    </w:rPr>
                    <w:t>要求</w:t>
                  </w:r>
                </w:p>
              </w:tc>
              <w:tc>
                <w:tcPr>
                  <w:tcW w:w="4116" w:type="dxa"/>
                  <w:noWrap w:val="0"/>
                  <w:vAlign w:val="center"/>
                </w:tcPr>
                <w:p w14:paraId="362B2861">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both"/>
                    <w:textAlignment w:val="auto"/>
                    <w:outlineLvl w:val="0"/>
                    <w:rPr>
                      <w:rFonts w:hint="eastAsia" w:cs="Times New Roman"/>
                      <w:b w:val="0"/>
                      <w:bCs w:val="0"/>
                      <w:color w:val="auto"/>
                      <w:kern w:val="0"/>
                      <w:szCs w:val="21"/>
                      <w:highlight w:val="none"/>
                      <w:vertAlign w:val="baseline"/>
                      <w:lang w:val="en-US" w:eastAsia="zh-CN"/>
                    </w:rPr>
                  </w:pPr>
                  <w:r>
                    <w:rPr>
                      <w:rFonts w:hint="eastAsia" w:cs="Times New Roman"/>
                      <w:b w:val="0"/>
                      <w:bCs w:val="0"/>
                      <w:color w:val="auto"/>
                      <w:kern w:val="0"/>
                      <w:szCs w:val="21"/>
                      <w:highlight w:val="none"/>
                      <w:vertAlign w:val="baseline"/>
                      <w:lang w:val="en-US" w:eastAsia="zh-CN"/>
                    </w:rPr>
                    <w:t>1. 本项目已按照《排污单位自行监测技术指南 印刷工业》（HJ1246-2022）制定监测计划：有组织废气DA001中NMHC半年/次、总VOCs一年/次、臭气浓度一年/次；厂区内NMHC一年/次；厂界总VOCs和臭气浓度一年/次。</w:t>
                  </w:r>
                </w:p>
                <w:p w14:paraId="2B22A7ED">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both"/>
                    <w:textAlignment w:val="auto"/>
                    <w:outlineLvl w:val="0"/>
                    <w:rPr>
                      <w:rFonts w:hint="eastAsia" w:cs="Times New Roman"/>
                      <w:b w:val="0"/>
                      <w:bCs w:val="0"/>
                      <w:color w:val="auto"/>
                      <w:kern w:val="0"/>
                      <w:szCs w:val="21"/>
                      <w:highlight w:val="none"/>
                      <w:vertAlign w:val="baseline"/>
                      <w:lang w:val="en-US" w:eastAsia="zh-CN"/>
                    </w:rPr>
                  </w:pPr>
                  <w:r>
                    <w:rPr>
                      <w:rFonts w:hint="eastAsia" w:cs="Times New Roman"/>
                      <w:b w:val="0"/>
                      <w:bCs w:val="0"/>
                      <w:color w:val="auto"/>
                      <w:kern w:val="0"/>
                      <w:szCs w:val="21"/>
                      <w:highlight w:val="none"/>
                      <w:vertAlign w:val="baseline"/>
                      <w:lang w:val="en-US" w:eastAsia="zh-CN"/>
                    </w:rPr>
                    <w:t>2. 排气筒DA001按要求设置规范的永久性监测口和监测平台。</w:t>
                  </w:r>
                </w:p>
              </w:tc>
            </w:tr>
            <w:tr w14:paraId="7C2EA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1" w:type="dxa"/>
                  <w:noWrap w:val="0"/>
                  <w:vAlign w:val="center"/>
                </w:tcPr>
                <w:p w14:paraId="3C9470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危废</w:t>
                  </w:r>
                </w:p>
                <w:p w14:paraId="3F1F67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eastAsia" w:cs="Times New Roman"/>
                      <w:b w:val="0"/>
                      <w:bCs w:val="0"/>
                      <w:color w:val="auto"/>
                      <w:kern w:val="0"/>
                      <w:szCs w:val="21"/>
                      <w:highlight w:val="none"/>
                      <w:vertAlign w:val="baseline"/>
                      <w:lang w:val="en-US" w:eastAsia="zh-CN"/>
                    </w:rPr>
                  </w:pPr>
                  <w:r>
                    <w:rPr>
                      <w:rFonts w:hint="default" w:ascii="Times New Roman" w:hAnsi="Times New Roman" w:eastAsia="宋体" w:cs="Times New Roman"/>
                      <w:b w:val="0"/>
                      <w:bCs w:val="0"/>
                      <w:color w:val="auto"/>
                      <w:kern w:val="0"/>
                      <w:sz w:val="21"/>
                      <w:szCs w:val="21"/>
                      <w:highlight w:val="none"/>
                      <w:lang w:val="en-US" w:eastAsia="zh-CN" w:bidi="ar"/>
                    </w:rPr>
                    <w:t>管理</w:t>
                  </w:r>
                </w:p>
              </w:tc>
              <w:tc>
                <w:tcPr>
                  <w:tcW w:w="2506" w:type="dxa"/>
                  <w:noWrap w:val="0"/>
                  <w:vAlign w:val="center"/>
                </w:tcPr>
                <w:p w14:paraId="2F68D0B7">
                  <w:pPr>
                    <w:keepNext w:val="0"/>
                    <w:keepLines w:val="0"/>
                    <w:widowControl/>
                    <w:numPr>
                      <w:ilvl w:val="0"/>
                      <w:numId w:val="0"/>
                    </w:numPr>
                    <w:suppressLineNumbers w:val="0"/>
                    <w:spacing w:before="0" w:beforeAutospacing="0" w:after="0" w:afterAutospacing="0"/>
                    <w:ind w:right="0" w:rightChars="0"/>
                    <w:jc w:val="both"/>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1. 废油墨、废清洗剂、废活性炭、废抹布等危险废物应分类收集、贮存，并委托有资质的单位处置；</w:t>
                  </w:r>
                </w:p>
                <w:p w14:paraId="20AE87E6">
                  <w:pPr>
                    <w:keepNext w:val="0"/>
                    <w:keepLines w:val="0"/>
                    <w:pageBreakBefore w:val="0"/>
                    <w:widowControl/>
                    <w:numPr>
                      <w:ilvl w:val="0"/>
                      <w:numId w:val="0"/>
                    </w:numPr>
                    <w:suppressLineNumbers w:val="0"/>
                    <w:kinsoku/>
                    <w:wordWrap w:val="0"/>
                    <w:overflowPunct/>
                    <w:topLinePunct w:val="0"/>
                    <w:autoSpaceDE/>
                    <w:autoSpaceDN/>
                    <w:bidi w:val="0"/>
                    <w:adjustRightInd/>
                    <w:snapToGrid/>
                    <w:spacing w:before="0" w:beforeAutospacing="0" w:after="0" w:afterAutospacing="0"/>
                    <w:ind w:right="0" w:rightChars="0"/>
                    <w:jc w:val="both"/>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2. 危险废物贮存场所应满足《危险废物贮存污染控制标准》（GB18597-2023）要求。</w:t>
                  </w:r>
                </w:p>
              </w:tc>
              <w:tc>
                <w:tcPr>
                  <w:tcW w:w="785" w:type="dxa"/>
                  <w:noWrap w:val="0"/>
                  <w:vAlign w:val="center"/>
                </w:tcPr>
                <w:p w14:paraId="4E6F34FB">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outlineLvl w:val="0"/>
                    <w:rPr>
                      <w:rFonts w:hint="eastAsia" w:cs="Times New Roman"/>
                      <w:b w:val="0"/>
                      <w:bCs w:val="0"/>
                      <w:color w:val="auto"/>
                      <w:kern w:val="0"/>
                      <w:szCs w:val="21"/>
                      <w:highlight w:val="none"/>
                      <w:vertAlign w:val="baseline"/>
                      <w:lang w:val="en-US" w:eastAsia="zh-CN"/>
                    </w:rPr>
                  </w:pPr>
                  <w:r>
                    <w:rPr>
                      <w:rFonts w:hint="eastAsia" w:cs="Times New Roman"/>
                      <w:b w:val="0"/>
                      <w:bCs w:val="0"/>
                      <w:color w:val="auto"/>
                      <w:kern w:val="0"/>
                      <w:szCs w:val="21"/>
                      <w:highlight w:val="none"/>
                      <w:vertAlign w:val="baseline"/>
                      <w:lang w:val="en-US" w:eastAsia="zh-CN"/>
                    </w:rPr>
                    <w:t>要求</w:t>
                  </w:r>
                </w:p>
              </w:tc>
              <w:tc>
                <w:tcPr>
                  <w:tcW w:w="4116" w:type="dxa"/>
                  <w:noWrap w:val="0"/>
                  <w:vAlign w:val="center"/>
                </w:tcPr>
                <w:p w14:paraId="0C3E1A04">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both"/>
                    <w:textAlignment w:val="auto"/>
                    <w:outlineLvl w:val="0"/>
                    <w:rPr>
                      <w:rFonts w:hint="eastAsia" w:cs="Times New Roman"/>
                      <w:b w:val="0"/>
                      <w:bCs w:val="0"/>
                      <w:color w:val="auto"/>
                      <w:kern w:val="0"/>
                      <w:szCs w:val="21"/>
                      <w:highlight w:val="none"/>
                      <w:vertAlign w:val="baseline"/>
                      <w:lang w:val="en-US" w:eastAsia="zh-CN"/>
                    </w:rPr>
                  </w:pPr>
                  <w:r>
                    <w:rPr>
                      <w:rFonts w:hint="eastAsia" w:cs="Times New Roman"/>
                      <w:b w:val="0"/>
                      <w:bCs w:val="0"/>
                      <w:color w:val="auto"/>
                      <w:kern w:val="0"/>
                      <w:szCs w:val="21"/>
                      <w:highlight w:val="none"/>
                      <w:vertAlign w:val="baseline"/>
                      <w:lang w:val="en-US" w:eastAsia="zh-CN"/>
                    </w:rPr>
                    <w:t>1. 本项目产生的危险废物包括：废活性炭、废抹布、废油墨渣、废机油、废原料桶等，分类收集后暂存于危废间，定期委托有危废处理资质的单位处置。</w:t>
                  </w:r>
                </w:p>
                <w:p w14:paraId="131BF11A">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both"/>
                    <w:textAlignment w:val="auto"/>
                    <w:outlineLvl w:val="0"/>
                    <w:rPr>
                      <w:rFonts w:hint="eastAsia" w:cs="Times New Roman"/>
                      <w:b w:val="0"/>
                      <w:bCs w:val="0"/>
                      <w:color w:val="auto"/>
                      <w:kern w:val="0"/>
                      <w:szCs w:val="21"/>
                      <w:highlight w:val="none"/>
                      <w:vertAlign w:val="baseline"/>
                      <w:lang w:val="en-US" w:eastAsia="zh-CN"/>
                    </w:rPr>
                  </w:pPr>
                  <w:r>
                    <w:rPr>
                      <w:rFonts w:hint="eastAsia" w:cs="Times New Roman"/>
                      <w:b w:val="0"/>
                      <w:bCs w:val="0"/>
                      <w:color w:val="auto"/>
                      <w:kern w:val="0"/>
                      <w:szCs w:val="21"/>
                      <w:highlight w:val="none"/>
                      <w:vertAlign w:val="baseline"/>
                      <w:lang w:val="en-US" w:eastAsia="zh-CN"/>
                    </w:rPr>
                    <w:t>2. 危废间（5m²）按照GB18597-2023要求建设，做好防风、防雨、防晒、防渗漏措施，并设立危险废物警示标志。严格执行《危险废物转移联单管理办法》。</w:t>
                  </w:r>
                </w:p>
              </w:tc>
            </w:tr>
            <w:tr w14:paraId="50863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1" w:type="dxa"/>
                  <w:noWrap w:val="0"/>
                  <w:vAlign w:val="center"/>
                </w:tcPr>
                <w:p w14:paraId="73F85E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建设</w:t>
                  </w:r>
                </w:p>
                <w:p w14:paraId="40B16A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项目VOCs总量</w:t>
                  </w:r>
                </w:p>
                <w:p w14:paraId="6E3D5A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eastAsia" w:cs="Times New Roman"/>
                      <w:b w:val="0"/>
                      <w:bCs w:val="0"/>
                      <w:color w:val="auto"/>
                      <w:kern w:val="0"/>
                      <w:szCs w:val="21"/>
                      <w:highlight w:val="none"/>
                      <w:vertAlign w:val="baseline"/>
                      <w:lang w:val="en-US" w:eastAsia="zh-CN"/>
                    </w:rPr>
                  </w:pPr>
                  <w:r>
                    <w:rPr>
                      <w:rFonts w:hint="default" w:ascii="Times New Roman" w:hAnsi="Times New Roman" w:eastAsia="宋体" w:cs="Times New Roman"/>
                      <w:b w:val="0"/>
                      <w:bCs w:val="0"/>
                      <w:color w:val="auto"/>
                      <w:kern w:val="0"/>
                      <w:sz w:val="21"/>
                      <w:szCs w:val="21"/>
                      <w:highlight w:val="none"/>
                      <w:lang w:val="en-US" w:eastAsia="zh-CN" w:bidi="ar"/>
                    </w:rPr>
                    <w:t>管理</w:t>
                  </w:r>
                </w:p>
              </w:tc>
              <w:tc>
                <w:tcPr>
                  <w:tcW w:w="2506" w:type="dxa"/>
                  <w:noWrap w:val="0"/>
                  <w:vAlign w:val="center"/>
                </w:tcPr>
                <w:p w14:paraId="64252B06">
                  <w:pPr>
                    <w:keepNext w:val="0"/>
                    <w:keepLines w:val="0"/>
                    <w:widowControl/>
                    <w:numPr>
                      <w:ilvl w:val="0"/>
                      <w:numId w:val="0"/>
                    </w:numPr>
                    <w:suppressLineNumbers w:val="0"/>
                    <w:spacing w:before="0" w:beforeAutospacing="0" w:after="0" w:afterAutospacing="0"/>
                    <w:ind w:right="0" w:rightChars="0"/>
                    <w:jc w:val="both"/>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新、改、扩建项目应满足VOCs总量控制要求，VOCs排放总量指标来源于本区域VOCs总量减排工程。</w:t>
                  </w:r>
                </w:p>
              </w:tc>
              <w:tc>
                <w:tcPr>
                  <w:tcW w:w="785" w:type="dxa"/>
                  <w:noWrap w:val="0"/>
                  <w:vAlign w:val="center"/>
                </w:tcPr>
                <w:p w14:paraId="55BD228D">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outlineLvl w:val="0"/>
                    <w:rPr>
                      <w:rFonts w:hint="eastAsia" w:cs="Times New Roman"/>
                      <w:b w:val="0"/>
                      <w:bCs w:val="0"/>
                      <w:color w:val="auto"/>
                      <w:kern w:val="0"/>
                      <w:szCs w:val="21"/>
                      <w:highlight w:val="none"/>
                      <w:vertAlign w:val="baseline"/>
                      <w:lang w:val="en-US" w:eastAsia="zh-CN"/>
                    </w:rPr>
                  </w:pPr>
                </w:p>
              </w:tc>
              <w:tc>
                <w:tcPr>
                  <w:tcW w:w="4116" w:type="dxa"/>
                  <w:noWrap w:val="0"/>
                  <w:vAlign w:val="center"/>
                </w:tcPr>
                <w:p w14:paraId="244A6BBE">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both"/>
                    <w:textAlignment w:val="auto"/>
                    <w:outlineLvl w:val="0"/>
                    <w:rPr>
                      <w:rFonts w:hint="eastAsia" w:cs="Times New Roman"/>
                      <w:b w:val="0"/>
                      <w:bCs w:val="0"/>
                      <w:color w:val="auto"/>
                      <w:kern w:val="0"/>
                      <w:szCs w:val="21"/>
                      <w:highlight w:val="none"/>
                      <w:vertAlign w:val="baseline"/>
                      <w:lang w:val="en-US" w:eastAsia="zh-CN"/>
                    </w:rPr>
                  </w:pPr>
                  <w:r>
                    <w:rPr>
                      <w:rFonts w:hint="eastAsia" w:cs="Times New Roman"/>
                      <w:b w:val="0"/>
                      <w:bCs w:val="0"/>
                      <w:color w:val="auto"/>
                      <w:kern w:val="0"/>
                      <w:szCs w:val="21"/>
                      <w:highlight w:val="none"/>
                      <w:vertAlign w:val="baseline"/>
                      <w:lang w:val="en-US" w:eastAsia="zh-CN"/>
                    </w:rPr>
                    <w:t>本项目VOCs总排放量为0.1668t/a（有组织排放0.0175t/a，无组织排放0.1493 t/a）。项目从源头替代（采用低VOCs含量原辅材料）、过程控制（高效集气罩和负压收集）、末端治理（两级活性炭吸附，处理效率80%）三方面实现VOCs有效削减。VOCs总量指标由当地生态环境部门在区域总量中统筹协调分配。</w:t>
                  </w:r>
                </w:p>
              </w:tc>
            </w:tr>
          </w:tbl>
          <w:p w14:paraId="4A1190BC">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jc w:val="left"/>
              <w:textAlignment w:val="auto"/>
              <w:outlineLvl w:val="0"/>
              <w:rPr>
                <w:rFonts w:hint="default" w:ascii="Times New Roman" w:hAnsi="Times New Roman" w:cs="Times New Roman"/>
                <w:color w:val="auto"/>
                <w:highlight w:val="none"/>
              </w:rPr>
            </w:pPr>
            <w:r>
              <w:rPr>
                <w:rFonts w:hint="eastAsia" w:ascii="Times New Roman" w:hAnsi="Times New Roman" w:eastAsia="宋体" w:cs="Times New Roman"/>
                <w:b w:val="0"/>
                <w:bCs w:val="0"/>
                <w:color w:val="auto"/>
                <w:kern w:val="0"/>
                <w:szCs w:val="21"/>
                <w:highlight w:val="none"/>
                <w:lang w:val="en-US" w:eastAsia="zh-CN"/>
              </w:rPr>
              <w:t xml:space="preserve">  </w:t>
            </w:r>
          </w:p>
        </w:tc>
      </w:tr>
    </w:tbl>
    <w:p w14:paraId="5F30DFA4">
      <w:pPr>
        <w:pStyle w:val="28"/>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b/>
          <w:bCs/>
          <w:snapToGrid w:val="0"/>
          <w:color w:val="auto"/>
          <w:sz w:val="30"/>
          <w:szCs w:val="30"/>
          <w:highlight w:val="none"/>
        </w:rPr>
      </w:pPr>
    </w:p>
    <w:p w14:paraId="5ED42C56">
      <w:pPr>
        <w:pStyle w:val="28"/>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b/>
          <w:bCs/>
          <w:snapToGrid w:val="0"/>
          <w:color w:val="auto"/>
          <w:sz w:val="30"/>
          <w:szCs w:val="30"/>
          <w:highlight w:val="none"/>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28BFEE85">
      <w:pPr>
        <w:pStyle w:val="28"/>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b/>
          <w:bCs/>
          <w:snapToGrid w:val="0"/>
          <w:color w:val="auto"/>
          <w:sz w:val="30"/>
          <w:szCs w:val="30"/>
          <w:highlight w:val="none"/>
        </w:rPr>
      </w:pPr>
      <w:r>
        <w:rPr>
          <w:rFonts w:hint="default" w:ascii="Times New Roman" w:hAnsi="Times New Roman" w:eastAsia="宋体" w:cs="Times New Roman"/>
          <w:b/>
          <w:bCs/>
          <w:snapToGrid w:val="0"/>
          <w:color w:val="auto"/>
          <w:sz w:val="30"/>
          <w:szCs w:val="30"/>
          <w:highlight w:val="none"/>
        </w:rPr>
        <w:t>二、建设项目工程分析</w:t>
      </w:r>
    </w:p>
    <w:tbl>
      <w:tblPr>
        <w:tblStyle w:val="3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20"/>
        <w:gridCol w:w="8464"/>
      </w:tblGrid>
      <w:tr w14:paraId="000B2E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167" w:hRule="atLeast"/>
          <w:jc w:val="center"/>
        </w:trPr>
        <w:tc>
          <w:tcPr>
            <w:tcW w:w="520" w:type="dxa"/>
            <w:noWrap w:val="0"/>
            <w:vAlign w:val="center"/>
          </w:tcPr>
          <w:p w14:paraId="5A2900F9">
            <w:pPr>
              <w:pStyle w:val="28"/>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建设内容</w:t>
            </w:r>
          </w:p>
        </w:tc>
        <w:tc>
          <w:tcPr>
            <w:tcW w:w="8464" w:type="dxa"/>
            <w:noWrap w:val="0"/>
            <w:vAlign w:val="top"/>
          </w:tcPr>
          <w:p w14:paraId="5F5C3571">
            <w:pPr>
              <w:keepNext w:val="0"/>
              <w:keepLines w:val="0"/>
              <w:suppressLineNumbers w:val="0"/>
              <w:adjustRightInd w:val="0"/>
              <w:snapToGrid w:val="0"/>
              <w:spacing w:before="120" w:beforeLines="50" w:beforeAutospacing="0" w:after="0" w:afterAutospacing="0" w:line="360" w:lineRule="auto"/>
              <w:ind w:left="0" w:right="0" w:firstLine="482" w:firstLineChars="200"/>
              <w:jc w:val="left"/>
              <w:rPr>
                <w:rFonts w:hint="default" w:ascii="Times New Roman" w:hAnsi="Times New Roman" w:eastAsia="宋体" w:cs="Times New Roman"/>
                <w:color w:val="auto"/>
                <w:sz w:val="24"/>
                <w:szCs w:val="32"/>
                <w:highlight w:val="none"/>
              </w:rPr>
            </w:pPr>
            <w:r>
              <w:rPr>
                <w:rFonts w:hint="default" w:ascii="Times New Roman" w:hAnsi="Times New Roman" w:eastAsia="宋体" w:cs="Times New Roman"/>
                <w:b/>
                <w:bCs/>
                <w:color w:val="auto"/>
                <w:sz w:val="24"/>
                <w:szCs w:val="32"/>
                <w:highlight w:val="none"/>
              </w:rPr>
              <w:t>（一）</w:t>
            </w:r>
            <w:r>
              <w:rPr>
                <w:rFonts w:hint="default" w:ascii="Times New Roman" w:hAnsi="Times New Roman" w:eastAsia="宋体" w:cs="Times New Roman"/>
                <w:b/>
                <w:bCs/>
                <w:color w:val="auto"/>
                <w:sz w:val="24"/>
                <w:szCs w:val="32"/>
                <w:highlight w:val="none"/>
                <w:lang w:val="en-US" w:eastAsia="zh-CN"/>
              </w:rPr>
              <w:t>项目概况</w:t>
            </w:r>
          </w:p>
          <w:p w14:paraId="138871C8">
            <w:pPr>
              <w:keepNext w:val="0"/>
              <w:keepLines w:val="0"/>
              <w:suppressLineNumbers w:val="0"/>
              <w:spacing w:before="0" w:beforeAutospacing="0" w:after="0" w:afterAutospacing="0" w:line="360" w:lineRule="auto"/>
              <w:ind w:left="0" w:right="0" w:firstLine="432" w:firstLineChars="180"/>
              <w:rPr>
                <w:rFonts w:hint="default" w:ascii="Times New Roman" w:hAnsi="Times New Roman" w:eastAsia="宋体" w:cs="Times New Roman"/>
                <w:color w:val="auto"/>
                <w:sz w:val="24"/>
                <w:szCs w:val="32"/>
                <w:highlight w:val="none"/>
                <w:lang w:val="en-US" w:eastAsia="zh-CN"/>
              </w:rPr>
            </w:pPr>
            <w:r>
              <w:rPr>
                <w:rFonts w:hint="eastAsia" w:cs="Times New Roman"/>
                <w:color w:val="auto"/>
                <w:sz w:val="24"/>
                <w:highlight w:val="none"/>
                <w:lang w:val="en-US" w:eastAsia="zh-CN"/>
              </w:rPr>
              <w:t>阳江市超越彩印有限公司纸制品生产建设项目</w:t>
            </w:r>
            <w:r>
              <w:rPr>
                <w:rFonts w:hint="default" w:ascii="Times New Roman" w:hAnsi="Times New Roman" w:cs="Times New Roman"/>
                <w:bCs/>
                <w:color w:val="auto"/>
                <w:sz w:val="24"/>
                <w:szCs w:val="24"/>
                <w:highlight w:val="none"/>
              </w:rPr>
              <w:t>（以下简称“本项目”）</w:t>
            </w:r>
            <w:r>
              <w:rPr>
                <w:rFonts w:hint="eastAsia" w:cs="Times New Roman"/>
                <w:color w:val="auto"/>
                <w:sz w:val="24"/>
                <w:szCs w:val="24"/>
                <w:highlight w:val="none"/>
                <w:lang w:val="en-US" w:eastAsia="zh-CN"/>
              </w:rPr>
              <w:t>位于</w:t>
            </w:r>
            <w:r>
              <w:rPr>
                <w:rFonts w:hint="eastAsia" w:cs="Times New Roman"/>
                <w:color w:val="auto"/>
                <w:sz w:val="24"/>
                <w:szCs w:val="32"/>
                <w:highlight w:val="none"/>
                <w:lang w:eastAsia="zh-CN"/>
              </w:rPr>
              <w:t>阳江市阳东区北惯镇金田六路西边及霍达七路南边BN-01-12a</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szCs w:val="24"/>
                <w:highlight w:val="none"/>
                <w:lang w:val="en-US" w:eastAsia="zh-CN"/>
              </w:rPr>
              <w:t>项目</w:t>
            </w:r>
            <w:r>
              <w:rPr>
                <w:rFonts w:hint="default" w:ascii="Times New Roman" w:hAnsi="Times New Roman" w:cs="Times New Roman"/>
                <w:color w:val="auto"/>
                <w:sz w:val="24"/>
                <w:szCs w:val="24"/>
                <w:highlight w:val="none"/>
              </w:rPr>
              <w:t>总投资</w:t>
            </w:r>
            <w:r>
              <w:rPr>
                <w:rFonts w:hint="eastAsia" w:cs="Times New Roman"/>
                <w:color w:val="auto"/>
                <w:sz w:val="24"/>
                <w:szCs w:val="24"/>
                <w:highlight w:val="none"/>
                <w:lang w:val="en-US" w:eastAsia="zh-CN"/>
              </w:rPr>
              <w:t>150</w:t>
            </w:r>
            <w:r>
              <w:rPr>
                <w:rFonts w:hint="default" w:ascii="Times New Roman" w:hAnsi="Times New Roman" w:cs="Times New Roman"/>
                <w:color w:val="auto"/>
                <w:sz w:val="24"/>
                <w:szCs w:val="24"/>
                <w:highlight w:val="none"/>
                <w:lang w:val="en-US" w:eastAsia="zh-CN"/>
              </w:rPr>
              <w:t>万元</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其中</w:t>
            </w:r>
            <w:r>
              <w:rPr>
                <w:rFonts w:hint="default" w:ascii="Times New Roman" w:hAnsi="Times New Roman" w:cs="Times New Roman"/>
                <w:color w:val="auto"/>
                <w:sz w:val="24"/>
                <w:szCs w:val="24"/>
                <w:highlight w:val="none"/>
                <w:lang w:val="en-US"/>
              </w:rPr>
              <w:t>环保投资估算</w:t>
            </w:r>
            <w:r>
              <w:rPr>
                <w:rFonts w:hint="eastAsia" w:cs="Times New Roman"/>
                <w:color w:val="auto"/>
                <w:sz w:val="24"/>
                <w:szCs w:val="24"/>
                <w:highlight w:val="none"/>
                <w:lang w:val="en-US" w:eastAsia="zh-CN"/>
              </w:rPr>
              <w:t>15</w:t>
            </w:r>
            <w:r>
              <w:rPr>
                <w:rFonts w:hint="default" w:ascii="Times New Roman" w:hAnsi="Times New Roman" w:cs="Times New Roman"/>
                <w:color w:val="auto"/>
                <w:sz w:val="24"/>
                <w:szCs w:val="24"/>
                <w:highlight w:val="none"/>
                <w:lang w:val="en-US"/>
              </w:rPr>
              <w:t>万元</w:t>
            </w:r>
            <w:r>
              <w:rPr>
                <w:rFonts w:hint="default" w:ascii="Times New Roman" w:hAnsi="Times New Roman" w:cs="Times New Roman"/>
                <w:color w:val="auto"/>
                <w:sz w:val="24"/>
                <w:szCs w:val="24"/>
                <w:highlight w:val="none"/>
                <w:lang w:val="en-US" w:eastAsia="zh-CN"/>
              </w:rPr>
              <w:t>，约占总投资比例为</w:t>
            </w:r>
            <w:r>
              <w:rPr>
                <w:rFonts w:hint="eastAsia" w:cs="Times New Roman"/>
                <w:color w:val="auto"/>
                <w:sz w:val="24"/>
                <w:szCs w:val="24"/>
                <w:highlight w:val="none"/>
                <w:lang w:val="en-US" w:eastAsia="zh-CN"/>
              </w:rPr>
              <w:t>10</w:t>
            </w:r>
            <w:r>
              <w:rPr>
                <w:rFonts w:hint="default" w:ascii="Times New Roman" w:hAnsi="Times New Roman" w:cs="Times New Roman"/>
                <w:color w:val="auto"/>
                <w:sz w:val="24"/>
                <w:szCs w:val="24"/>
                <w:highlight w:val="none"/>
                <w:lang w:val="en-US" w:eastAsia="zh-CN"/>
              </w:rPr>
              <w:t>%。本项目</w:t>
            </w:r>
            <w:r>
              <w:rPr>
                <w:rFonts w:hint="default" w:ascii="Times New Roman" w:hAnsi="Times New Roman" w:cs="Times New Roman"/>
                <w:bCs/>
                <w:color w:val="auto"/>
                <w:sz w:val="24"/>
                <w:szCs w:val="24"/>
                <w:highlight w:val="none"/>
              </w:rPr>
              <w:t>占地面积</w:t>
            </w:r>
            <w:r>
              <w:rPr>
                <w:rFonts w:hint="eastAsia" w:cs="Times New Roman"/>
                <w:color w:val="auto"/>
                <w:sz w:val="24"/>
                <w:highlight w:val="none"/>
                <w:lang w:val="en-US" w:eastAsia="zh-CN"/>
              </w:rPr>
              <w:t>1000</w:t>
            </w:r>
            <w:r>
              <w:rPr>
                <w:rFonts w:hint="default" w:ascii="Times New Roman" w:hAnsi="Times New Roman" w:cs="Times New Roman"/>
                <w:color w:val="auto"/>
                <w:sz w:val="24"/>
                <w:szCs w:val="24"/>
                <w:highlight w:val="none"/>
              </w:rPr>
              <w:t>平方米，</w:t>
            </w:r>
            <w:r>
              <w:rPr>
                <w:rFonts w:hint="default" w:ascii="Times New Roman" w:hAnsi="Times New Roman" w:cs="Times New Roman"/>
                <w:color w:val="auto"/>
                <w:sz w:val="24"/>
                <w:highlight w:val="none"/>
              </w:rPr>
              <w:t>总</w:t>
            </w:r>
            <w:r>
              <w:rPr>
                <w:rFonts w:hint="default" w:ascii="Times New Roman" w:hAnsi="Times New Roman" w:cs="Times New Roman"/>
                <w:color w:val="auto"/>
                <w:kern w:val="0"/>
                <w:sz w:val="24"/>
                <w:highlight w:val="none"/>
              </w:rPr>
              <w:t>建筑面积</w:t>
            </w:r>
            <w:r>
              <w:rPr>
                <w:rFonts w:hint="eastAsia" w:cs="Times New Roman"/>
                <w:color w:val="auto"/>
                <w:sz w:val="24"/>
                <w:highlight w:val="none"/>
                <w:lang w:val="en-US" w:eastAsia="zh-CN"/>
              </w:rPr>
              <w:t>2000</w:t>
            </w:r>
            <w:r>
              <w:rPr>
                <w:rFonts w:hint="default" w:ascii="Times New Roman" w:hAnsi="Times New Roman" w:cs="Times New Roman"/>
                <w:color w:val="auto"/>
                <w:sz w:val="24"/>
                <w:highlight w:val="none"/>
              </w:rPr>
              <w:t>平方米</w:t>
            </w: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项目主要从事纸制品生产，</w:t>
            </w:r>
            <w:r>
              <w:rPr>
                <w:rFonts w:hint="default" w:ascii="Times New Roman" w:hAnsi="Times New Roman" w:eastAsia="宋体" w:cs="Times New Roman"/>
                <w:color w:val="auto"/>
                <w:sz w:val="24"/>
                <w:szCs w:val="32"/>
                <w:highlight w:val="none"/>
                <w:lang w:val="en-US" w:eastAsia="zh-CN"/>
              </w:rPr>
              <w:t>年产纸卡</w:t>
            </w:r>
            <w:r>
              <w:rPr>
                <w:rFonts w:hint="eastAsia" w:cs="Times New Roman"/>
                <w:color w:val="auto"/>
                <w:sz w:val="24"/>
                <w:szCs w:val="32"/>
                <w:highlight w:val="none"/>
                <w:lang w:val="en-US" w:eastAsia="zh-CN"/>
              </w:rPr>
              <w:t>10</w:t>
            </w:r>
            <w:r>
              <w:rPr>
                <w:rFonts w:hint="default" w:ascii="Times New Roman" w:hAnsi="Times New Roman" w:eastAsia="宋体" w:cs="Times New Roman"/>
                <w:color w:val="auto"/>
                <w:sz w:val="24"/>
                <w:szCs w:val="32"/>
                <w:highlight w:val="none"/>
                <w:lang w:val="en-US" w:eastAsia="zh-CN"/>
              </w:rPr>
              <w:t>00万张、彩盒</w:t>
            </w:r>
            <w:r>
              <w:rPr>
                <w:rFonts w:hint="eastAsia" w:cs="Times New Roman"/>
                <w:color w:val="auto"/>
                <w:sz w:val="24"/>
                <w:szCs w:val="32"/>
                <w:highlight w:val="none"/>
                <w:lang w:val="en-US" w:eastAsia="zh-CN"/>
              </w:rPr>
              <w:t>1</w:t>
            </w:r>
            <w:r>
              <w:rPr>
                <w:rFonts w:hint="default" w:ascii="Times New Roman" w:hAnsi="Times New Roman" w:eastAsia="宋体" w:cs="Times New Roman"/>
                <w:color w:val="auto"/>
                <w:sz w:val="24"/>
                <w:szCs w:val="32"/>
                <w:highlight w:val="none"/>
                <w:lang w:val="en-US" w:eastAsia="zh-CN"/>
              </w:rPr>
              <w:t>00万个</w:t>
            </w:r>
            <w:r>
              <w:rPr>
                <w:rFonts w:hint="default" w:ascii="Times New Roman" w:hAnsi="Times New Roman" w:eastAsia="宋体" w:cs="Times New Roman"/>
                <w:color w:val="auto"/>
                <w:sz w:val="24"/>
                <w:szCs w:val="32"/>
                <w:highlight w:val="none"/>
              </w:rPr>
              <w:t>。</w:t>
            </w:r>
          </w:p>
          <w:p w14:paraId="489719C6">
            <w:pPr>
              <w:keepNext w:val="0"/>
              <w:keepLines w:val="0"/>
              <w:suppressLineNumbers w:val="0"/>
              <w:snapToGrid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rPr>
              <w:t>根据《建设项目环境影响评价分类管理名录（2021年版）》</w:t>
            </w:r>
            <w:r>
              <w:rPr>
                <w:rFonts w:hint="default" w:ascii="Times New Roman" w:hAnsi="Times New Roman" w:eastAsia="宋体" w:cs="Times New Roman"/>
                <w:color w:val="auto"/>
                <w:sz w:val="24"/>
                <w:szCs w:val="32"/>
                <w:highlight w:val="none"/>
                <w:lang w:eastAsia="zh-CN"/>
              </w:rPr>
              <w:t>、《</w:t>
            </w:r>
            <w:r>
              <w:rPr>
                <w:rFonts w:hint="default" w:ascii="Times New Roman" w:hAnsi="Times New Roman" w:eastAsia="宋体" w:cs="Times New Roman"/>
                <w:color w:val="auto"/>
                <w:sz w:val="24"/>
                <w:szCs w:val="32"/>
                <w:highlight w:val="none"/>
                <w:lang w:val="en-US" w:eastAsia="zh-CN"/>
              </w:rPr>
              <w:t>固定源</w:t>
            </w:r>
            <w:r>
              <w:rPr>
                <w:rFonts w:hint="eastAsia" w:ascii="Times New Roman" w:hAnsi="Times New Roman" w:eastAsia="宋体" w:cs="Times New Roman"/>
                <w:color w:val="auto"/>
                <w:sz w:val="24"/>
                <w:szCs w:val="32"/>
                <w:highlight w:val="none"/>
                <w:lang w:val="en-US" w:eastAsia="zh-CN"/>
              </w:rPr>
              <w:t>污染源排污许可分类管理名录</w:t>
            </w:r>
            <w:r>
              <w:rPr>
                <w:rFonts w:hint="eastAsia" w:ascii="Times New Roman" w:hAnsi="Times New Roman" w:eastAsia="宋体" w:cs="Times New Roman"/>
                <w:color w:val="auto"/>
                <w:sz w:val="24"/>
                <w:szCs w:val="32"/>
                <w:highlight w:val="none"/>
                <w:lang w:eastAsia="zh-CN"/>
              </w:rPr>
              <w:t>》（</w:t>
            </w:r>
            <w:r>
              <w:rPr>
                <w:rFonts w:hint="eastAsia" w:ascii="Times New Roman" w:hAnsi="Times New Roman" w:eastAsia="宋体" w:cs="Times New Roman"/>
                <w:color w:val="auto"/>
                <w:sz w:val="24"/>
                <w:szCs w:val="32"/>
                <w:highlight w:val="none"/>
                <w:lang w:val="en-US" w:eastAsia="zh-CN"/>
              </w:rPr>
              <w:t>2019年版</w:t>
            </w:r>
            <w:r>
              <w:rPr>
                <w:rFonts w:hint="eastAsia" w:ascii="Times New Roman" w:hAnsi="Times New Roman" w:eastAsia="宋体" w:cs="Times New Roman"/>
                <w:color w:val="auto"/>
                <w:sz w:val="24"/>
                <w:szCs w:val="32"/>
                <w:highlight w:val="none"/>
                <w:lang w:eastAsia="zh-CN"/>
              </w:rPr>
              <w:t>）</w:t>
            </w:r>
            <w:r>
              <w:rPr>
                <w:rFonts w:hint="default" w:ascii="Times New Roman" w:hAnsi="Times New Roman" w:eastAsia="宋体" w:cs="Times New Roman"/>
                <w:color w:val="auto"/>
                <w:sz w:val="24"/>
                <w:szCs w:val="32"/>
                <w:highlight w:val="none"/>
              </w:rPr>
              <w:t>，</w:t>
            </w:r>
            <w:r>
              <w:rPr>
                <w:rFonts w:hint="eastAsia" w:ascii="Times New Roman" w:hAnsi="Times New Roman" w:eastAsia="宋体" w:cs="Times New Roman"/>
                <w:color w:val="auto"/>
                <w:sz w:val="24"/>
                <w:szCs w:val="32"/>
                <w:highlight w:val="none"/>
                <w:lang w:val="en-US" w:eastAsia="zh-CN"/>
              </w:rPr>
              <w:t>项目分类管理判定如下：</w:t>
            </w:r>
          </w:p>
          <w:p w14:paraId="5806C52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422" w:firstLineChars="200"/>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表</w:t>
            </w:r>
            <w:r>
              <w:rPr>
                <w:rFonts w:hint="eastAsia" w:cs="Times New Roman"/>
                <w:b/>
                <w:bCs/>
                <w:color w:val="auto"/>
                <w:sz w:val="21"/>
                <w:szCs w:val="21"/>
                <w:highlight w:val="none"/>
                <w:lang w:val="en-US" w:eastAsia="zh-CN"/>
              </w:rPr>
              <w:t>2-1</w:t>
            </w:r>
            <w:r>
              <w:rPr>
                <w:rFonts w:hint="eastAsia" w:ascii="Times New Roman" w:hAnsi="Times New Roman" w:eastAsia="宋体" w:cs="Times New Roman"/>
                <w:b/>
                <w:bCs/>
                <w:color w:val="auto"/>
                <w:sz w:val="21"/>
                <w:szCs w:val="21"/>
                <w:highlight w:val="none"/>
                <w:lang w:val="en-US" w:eastAsia="zh-CN"/>
              </w:rPr>
              <w:t xml:space="preserve">  项目行业判定表</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0"/>
              <w:gridCol w:w="1877"/>
              <w:gridCol w:w="2550"/>
              <w:gridCol w:w="1767"/>
            </w:tblGrid>
            <w:tr w14:paraId="41479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7" w:type="dxa"/>
                  <w:gridSpan w:val="3"/>
                  <w:noWrap w:val="0"/>
                  <w:vAlign w:val="top"/>
                </w:tcPr>
                <w:p w14:paraId="7C029A6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《国民经济行业分类》（GB/T4754-2017）（2019年修订）</w:t>
                  </w:r>
                </w:p>
              </w:tc>
              <w:tc>
                <w:tcPr>
                  <w:tcW w:w="1767" w:type="dxa"/>
                  <w:noWrap w:val="0"/>
                  <w:vAlign w:val="top"/>
                </w:tcPr>
                <w:p w14:paraId="7D906C3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项目情况</w:t>
                  </w:r>
                </w:p>
              </w:tc>
            </w:tr>
            <w:tr w14:paraId="344BF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7" w:type="dxa"/>
                  <w:gridSpan w:val="3"/>
                  <w:noWrap w:val="0"/>
                  <w:vAlign w:val="top"/>
                </w:tcPr>
                <w:p w14:paraId="74A6063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C、制造业</w:t>
                  </w:r>
                </w:p>
              </w:tc>
              <w:tc>
                <w:tcPr>
                  <w:tcW w:w="1767" w:type="dxa"/>
                  <w:vMerge w:val="restart"/>
                  <w:noWrap w:val="0"/>
                  <w:vAlign w:val="center"/>
                </w:tcPr>
                <w:p w14:paraId="76F16E6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产品为纸卡以及彩盒容器。</w:t>
                  </w:r>
                </w:p>
              </w:tc>
            </w:tr>
            <w:tr w14:paraId="09865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0" w:type="dxa"/>
                  <w:noWrap w:val="0"/>
                  <w:vAlign w:val="top"/>
                </w:tcPr>
                <w:p w14:paraId="713AFF8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大类</w:t>
                  </w:r>
                </w:p>
              </w:tc>
              <w:tc>
                <w:tcPr>
                  <w:tcW w:w="1877" w:type="dxa"/>
                  <w:noWrap w:val="0"/>
                  <w:vAlign w:val="top"/>
                </w:tcPr>
                <w:p w14:paraId="14EDDD1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中类</w:t>
                  </w:r>
                </w:p>
              </w:tc>
              <w:tc>
                <w:tcPr>
                  <w:tcW w:w="2550" w:type="dxa"/>
                  <w:noWrap w:val="0"/>
                  <w:vAlign w:val="top"/>
                </w:tcPr>
                <w:p w14:paraId="3FEB985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小类</w:t>
                  </w:r>
                </w:p>
              </w:tc>
              <w:tc>
                <w:tcPr>
                  <w:tcW w:w="1767" w:type="dxa"/>
                  <w:vMerge w:val="continue"/>
                  <w:noWrap w:val="0"/>
                  <w:vAlign w:val="top"/>
                </w:tcPr>
                <w:p w14:paraId="5F95FEF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r>
            <w:tr w14:paraId="2DFD7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0" w:type="dxa"/>
                  <w:noWrap w:val="0"/>
                  <w:vAlign w:val="top"/>
                </w:tcPr>
                <w:p w14:paraId="351D747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22造纸和纸制品业</w:t>
                  </w:r>
                </w:p>
              </w:tc>
              <w:tc>
                <w:tcPr>
                  <w:tcW w:w="1877" w:type="dxa"/>
                  <w:noWrap w:val="0"/>
                  <w:vAlign w:val="top"/>
                </w:tcPr>
                <w:p w14:paraId="314C6E9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223纸制品制造</w:t>
                  </w:r>
                </w:p>
              </w:tc>
              <w:tc>
                <w:tcPr>
                  <w:tcW w:w="2550" w:type="dxa"/>
                  <w:noWrap w:val="0"/>
                  <w:vAlign w:val="top"/>
                </w:tcPr>
                <w:p w14:paraId="5C718D8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C2231纸和纸箱容器制造</w:t>
                  </w:r>
                </w:p>
              </w:tc>
              <w:tc>
                <w:tcPr>
                  <w:tcW w:w="1767" w:type="dxa"/>
                  <w:vMerge w:val="continue"/>
                  <w:noWrap w:val="0"/>
                  <w:vAlign w:val="top"/>
                </w:tcPr>
                <w:p w14:paraId="31CA210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r>
            <w:tr w14:paraId="4FBF4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7" w:type="dxa"/>
                  <w:gridSpan w:val="3"/>
                  <w:noWrap w:val="0"/>
                  <w:vAlign w:val="top"/>
                </w:tcPr>
                <w:p w14:paraId="7F2EBC6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《建设项目环境影响评价分类管理名录》（2021年版）</w:t>
                  </w:r>
                </w:p>
              </w:tc>
              <w:tc>
                <w:tcPr>
                  <w:tcW w:w="1767" w:type="dxa"/>
                  <w:vMerge w:val="restart"/>
                  <w:noWrap w:val="0"/>
                  <w:vAlign w:val="center"/>
                </w:tcPr>
                <w:p w14:paraId="39F1AF4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项目设有印刷、粘胶工艺，应编制报告表。</w:t>
                  </w:r>
                </w:p>
              </w:tc>
            </w:tr>
            <w:tr w14:paraId="1D171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7" w:type="dxa"/>
                  <w:gridSpan w:val="3"/>
                  <w:noWrap w:val="0"/>
                  <w:vAlign w:val="top"/>
                </w:tcPr>
                <w:p w14:paraId="4C5C222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十九、造纸和纸制品业22   38纸制品制造223*</w:t>
                  </w:r>
                </w:p>
              </w:tc>
              <w:tc>
                <w:tcPr>
                  <w:tcW w:w="1767" w:type="dxa"/>
                  <w:vMerge w:val="continue"/>
                  <w:noWrap w:val="0"/>
                  <w:vAlign w:val="top"/>
                </w:tcPr>
                <w:p w14:paraId="043B97D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r>
            <w:tr w14:paraId="6D055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0" w:type="dxa"/>
                  <w:noWrap w:val="0"/>
                  <w:vAlign w:val="top"/>
                </w:tcPr>
                <w:p w14:paraId="01E8FE7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报告书</w:t>
                  </w:r>
                </w:p>
              </w:tc>
              <w:tc>
                <w:tcPr>
                  <w:tcW w:w="1877" w:type="dxa"/>
                  <w:noWrap w:val="0"/>
                  <w:vAlign w:val="top"/>
                </w:tcPr>
                <w:p w14:paraId="7832403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报告表</w:t>
                  </w:r>
                </w:p>
              </w:tc>
              <w:tc>
                <w:tcPr>
                  <w:tcW w:w="2550" w:type="dxa"/>
                  <w:noWrap w:val="0"/>
                  <w:vAlign w:val="top"/>
                </w:tcPr>
                <w:p w14:paraId="586FC2F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登记表</w:t>
                  </w:r>
                </w:p>
              </w:tc>
              <w:tc>
                <w:tcPr>
                  <w:tcW w:w="1767" w:type="dxa"/>
                  <w:vMerge w:val="continue"/>
                  <w:noWrap w:val="0"/>
                  <w:vAlign w:val="top"/>
                </w:tcPr>
                <w:p w14:paraId="42183B9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r>
            <w:tr w14:paraId="5294D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0" w:type="dxa"/>
                  <w:noWrap w:val="0"/>
                  <w:vAlign w:val="top"/>
                </w:tcPr>
                <w:p w14:paraId="623B43B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w:t>
                  </w:r>
                </w:p>
              </w:tc>
              <w:tc>
                <w:tcPr>
                  <w:tcW w:w="1877" w:type="dxa"/>
                  <w:noWrap w:val="0"/>
                  <w:vAlign w:val="top"/>
                </w:tcPr>
                <w:p w14:paraId="16F5F17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both"/>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有涂布、浸渍、印刷、粘胶工艺的</w:t>
                  </w:r>
                </w:p>
              </w:tc>
              <w:tc>
                <w:tcPr>
                  <w:tcW w:w="2550" w:type="dxa"/>
                  <w:noWrap w:val="0"/>
                  <w:vAlign w:val="top"/>
                </w:tcPr>
                <w:p w14:paraId="349B0B4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w:t>
                  </w:r>
                </w:p>
              </w:tc>
              <w:tc>
                <w:tcPr>
                  <w:tcW w:w="1767" w:type="dxa"/>
                  <w:vMerge w:val="continue"/>
                  <w:noWrap w:val="0"/>
                  <w:vAlign w:val="top"/>
                </w:tcPr>
                <w:p w14:paraId="6B8C110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r>
            <w:tr w14:paraId="4F637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7" w:type="dxa"/>
                  <w:gridSpan w:val="3"/>
                  <w:noWrap w:val="0"/>
                  <w:vAlign w:val="top"/>
                </w:tcPr>
                <w:p w14:paraId="358FF4B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《固定污染源排污许可分类管理名录》（2019年版）</w:t>
                  </w:r>
                </w:p>
              </w:tc>
              <w:tc>
                <w:tcPr>
                  <w:tcW w:w="1767" w:type="dxa"/>
                  <w:vMerge w:val="restart"/>
                  <w:noWrap w:val="0"/>
                  <w:vAlign w:val="center"/>
                </w:tcPr>
                <w:p w14:paraId="151E2C7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项目运营过程中产生工业废气，属于简化管理。</w:t>
                  </w:r>
                </w:p>
              </w:tc>
            </w:tr>
            <w:tr w14:paraId="7BFA3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7" w:type="dxa"/>
                  <w:gridSpan w:val="3"/>
                  <w:noWrap w:val="0"/>
                  <w:vAlign w:val="top"/>
                </w:tcPr>
                <w:p w14:paraId="0DA9247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十七、造纸和纸制品业22  38纸制品制造223</w:t>
                  </w:r>
                </w:p>
              </w:tc>
              <w:tc>
                <w:tcPr>
                  <w:tcW w:w="1767" w:type="dxa"/>
                  <w:vMerge w:val="continue"/>
                  <w:noWrap w:val="0"/>
                  <w:vAlign w:val="top"/>
                </w:tcPr>
                <w:p w14:paraId="28D6DA9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r>
            <w:tr w14:paraId="56585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0" w:type="dxa"/>
                  <w:noWrap w:val="0"/>
                  <w:vAlign w:val="center"/>
                </w:tcPr>
                <w:p w14:paraId="1169E32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重点管理</w:t>
                  </w:r>
                </w:p>
              </w:tc>
              <w:tc>
                <w:tcPr>
                  <w:tcW w:w="1877" w:type="dxa"/>
                  <w:noWrap w:val="0"/>
                  <w:vAlign w:val="center"/>
                </w:tcPr>
                <w:p w14:paraId="5168953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简化管理</w:t>
                  </w:r>
                </w:p>
              </w:tc>
              <w:tc>
                <w:tcPr>
                  <w:tcW w:w="2550" w:type="dxa"/>
                  <w:noWrap w:val="0"/>
                  <w:vAlign w:val="center"/>
                </w:tcPr>
                <w:p w14:paraId="56C9B98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登记管理</w:t>
                  </w:r>
                </w:p>
              </w:tc>
              <w:tc>
                <w:tcPr>
                  <w:tcW w:w="1767" w:type="dxa"/>
                  <w:vMerge w:val="continue"/>
                  <w:noWrap w:val="0"/>
                  <w:vAlign w:val="top"/>
                </w:tcPr>
                <w:p w14:paraId="349B5C9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r>
            <w:tr w14:paraId="6BC8D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0" w:type="dxa"/>
                  <w:noWrap w:val="0"/>
                  <w:vAlign w:val="center"/>
                </w:tcPr>
                <w:p w14:paraId="79896C8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w:t>
                  </w:r>
                </w:p>
              </w:tc>
              <w:tc>
                <w:tcPr>
                  <w:tcW w:w="1877" w:type="dxa"/>
                  <w:noWrap w:val="0"/>
                  <w:vAlign w:val="center"/>
                </w:tcPr>
                <w:p w14:paraId="4AC1290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有工业废水或废气排放的</w:t>
                  </w:r>
                </w:p>
              </w:tc>
              <w:tc>
                <w:tcPr>
                  <w:tcW w:w="2550" w:type="dxa"/>
                  <w:noWrap w:val="0"/>
                  <w:vAlign w:val="center"/>
                </w:tcPr>
                <w:p w14:paraId="47283D7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其他*</w:t>
                  </w:r>
                </w:p>
              </w:tc>
              <w:tc>
                <w:tcPr>
                  <w:tcW w:w="1767" w:type="dxa"/>
                  <w:vMerge w:val="continue"/>
                  <w:noWrap w:val="0"/>
                  <w:vAlign w:val="top"/>
                </w:tcPr>
                <w:p w14:paraId="089DE47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r>
          </w:tbl>
          <w:p w14:paraId="78FE58F8">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建设内容涉及本名录中两个及以上项目类别的建设项目，其环境影响评价类别按照其中单项等级最高的确定，</w:t>
            </w:r>
            <w:r>
              <w:rPr>
                <w:rFonts w:hint="default" w:ascii="Times New Roman" w:hAnsi="Times New Roman" w:cs="Times New Roman"/>
                <w:color w:val="auto"/>
                <w:sz w:val="24"/>
                <w:szCs w:val="24"/>
                <w:lang w:val="en-US" w:eastAsia="zh-CN"/>
              </w:rPr>
              <w:t>为此，本项目</w:t>
            </w:r>
            <w:r>
              <w:rPr>
                <w:rFonts w:hint="default" w:ascii="Times New Roman" w:hAnsi="Times New Roman" w:cs="Times New Roman"/>
                <w:color w:val="auto"/>
                <w:sz w:val="24"/>
                <w:szCs w:val="24"/>
              </w:rPr>
              <w:t>需编制环境影响报告表。</w:t>
            </w:r>
            <w:r>
              <w:rPr>
                <w:rFonts w:hint="eastAsia" w:cs="Times New Roman"/>
                <w:color w:val="auto"/>
                <w:sz w:val="24"/>
                <w:szCs w:val="24"/>
                <w:lang w:eastAsia="zh-CN"/>
              </w:rPr>
              <w:t>阳江市超越彩印有限公司</w:t>
            </w:r>
            <w:r>
              <w:rPr>
                <w:rFonts w:hint="default" w:ascii="Times New Roman" w:hAnsi="Times New Roman" w:cs="Times New Roman"/>
                <w:color w:val="auto"/>
                <w:sz w:val="24"/>
                <w:szCs w:val="24"/>
              </w:rPr>
              <w:t>委托</w:t>
            </w:r>
            <w:r>
              <w:rPr>
                <w:rFonts w:hint="default" w:ascii="Times New Roman" w:hAnsi="Times New Roman" w:cs="Times New Roman"/>
                <w:color w:val="auto"/>
                <w:sz w:val="24"/>
                <w:szCs w:val="24"/>
                <w:lang w:val="en-US" w:eastAsia="zh-CN"/>
              </w:rPr>
              <w:t>我</w:t>
            </w:r>
            <w:r>
              <w:rPr>
                <w:rFonts w:hint="default" w:ascii="Times New Roman" w:hAnsi="Times New Roman" w:cs="Times New Roman"/>
                <w:color w:val="auto"/>
                <w:sz w:val="24"/>
                <w:szCs w:val="24"/>
              </w:rPr>
              <w:t>司承担本项目的环境影响评价工作。</w:t>
            </w:r>
            <w:r>
              <w:rPr>
                <w:rFonts w:hint="default" w:ascii="Times New Roman" w:hAnsi="Times New Roman" w:cs="Times New Roman"/>
                <w:color w:val="auto"/>
                <w:sz w:val="24"/>
                <w:szCs w:val="24"/>
                <w:lang w:val="en-US" w:eastAsia="zh-CN"/>
              </w:rPr>
              <w:t>结合</w:t>
            </w:r>
            <w:r>
              <w:rPr>
                <w:rFonts w:hint="default" w:ascii="Times New Roman" w:hAnsi="Times New Roman" w:cs="Times New Roman"/>
                <w:color w:val="auto"/>
                <w:sz w:val="24"/>
                <w:szCs w:val="24"/>
              </w:rPr>
              <w:t>建设单位提供有关本项目的资料</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我</w:t>
            </w:r>
            <w:r>
              <w:rPr>
                <w:rFonts w:hint="default" w:ascii="Times New Roman" w:hAnsi="Times New Roman" w:cs="Times New Roman"/>
                <w:color w:val="auto"/>
                <w:sz w:val="24"/>
                <w:szCs w:val="24"/>
              </w:rPr>
              <w:t>司</w:t>
            </w:r>
            <w:r>
              <w:rPr>
                <w:rFonts w:hint="default" w:ascii="Times New Roman" w:hAnsi="Times New Roman" w:cs="Times New Roman"/>
                <w:color w:val="auto"/>
                <w:sz w:val="24"/>
                <w:szCs w:val="24"/>
                <w:lang w:val="en-US" w:eastAsia="zh-CN"/>
              </w:rPr>
              <w:t>派出</w:t>
            </w:r>
            <w:r>
              <w:rPr>
                <w:rFonts w:hint="default" w:ascii="Times New Roman" w:hAnsi="Times New Roman" w:cs="Times New Roman"/>
                <w:color w:val="auto"/>
                <w:sz w:val="24"/>
                <w:szCs w:val="24"/>
              </w:rPr>
              <w:t>技术人员到</w:t>
            </w:r>
            <w:r>
              <w:rPr>
                <w:rFonts w:hint="default" w:ascii="Times New Roman" w:hAnsi="Times New Roman" w:cs="Times New Roman"/>
                <w:color w:val="auto"/>
                <w:sz w:val="24"/>
                <w:szCs w:val="24"/>
                <w:lang w:eastAsia="zh-CN"/>
              </w:rPr>
              <w:t>现场勘查</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val="en-US" w:eastAsia="zh-CN"/>
              </w:rPr>
              <w:t>参照</w:t>
            </w:r>
            <w:r>
              <w:rPr>
                <w:rFonts w:hint="default" w:ascii="Times New Roman" w:hAnsi="Times New Roman" w:cs="Times New Roman"/>
                <w:color w:val="auto"/>
                <w:sz w:val="24"/>
                <w:szCs w:val="24"/>
              </w:rPr>
              <w:t>《建设项目环境影响评价技术导则总纲》</w:t>
            </w:r>
            <w:r>
              <w:rPr>
                <w:rFonts w:hint="default" w:ascii="Times New Roman" w:hAnsi="Times New Roman" w:cs="Times New Roman"/>
                <w:color w:val="auto"/>
                <w:sz w:val="24"/>
                <w:szCs w:val="24"/>
                <w:lang w:eastAsia="zh-CN"/>
              </w:rPr>
              <w:t>《关于印发</w:t>
            </w:r>
            <w:r>
              <w:rPr>
                <w:rFonts w:hint="default" w:ascii="Times New Roman" w:hAnsi="Times New Roman" w:eastAsia="仿宋" w:cs="Times New Roman"/>
                <w:color w:val="auto"/>
                <w:sz w:val="24"/>
                <w:szCs w:val="24"/>
                <w:lang w:eastAsia="zh-CN"/>
              </w:rPr>
              <w:t>〈</w:t>
            </w:r>
            <w:r>
              <w:rPr>
                <w:rFonts w:hint="default" w:ascii="Times New Roman" w:hAnsi="Times New Roman" w:cs="Times New Roman"/>
                <w:color w:val="auto"/>
                <w:sz w:val="24"/>
                <w:szCs w:val="24"/>
                <w:lang w:eastAsia="zh-CN"/>
              </w:rPr>
              <w:t>建设项目环境影响报告表</w:t>
            </w:r>
            <w:r>
              <w:rPr>
                <w:rFonts w:hint="default" w:ascii="Times New Roman" w:hAnsi="Times New Roman" w:eastAsia="仿宋" w:cs="Times New Roman"/>
                <w:color w:val="auto"/>
                <w:sz w:val="24"/>
                <w:szCs w:val="24"/>
                <w:lang w:eastAsia="zh-CN"/>
              </w:rPr>
              <w:t>〉</w:t>
            </w:r>
            <w:r>
              <w:rPr>
                <w:rFonts w:hint="default" w:ascii="Times New Roman" w:hAnsi="Times New Roman" w:cs="Times New Roman"/>
                <w:color w:val="auto"/>
                <w:sz w:val="24"/>
                <w:szCs w:val="24"/>
                <w:lang w:eastAsia="zh-CN"/>
              </w:rPr>
              <w:t>内容、格式及编制技术指南的通知》(环办环评〔2020〕33号)</w:t>
            </w:r>
            <w:r>
              <w:rPr>
                <w:rFonts w:hint="default" w:ascii="Times New Roman" w:hAnsi="Times New Roman" w:cs="Times New Roman"/>
                <w:color w:val="auto"/>
                <w:sz w:val="24"/>
                <w:szCs w:val="24"/>
                <w:lang w:val="en-US" w:eastAsia="zh-CN"/>
              </w:rPr>
              <w:t>等</w:t>
            </w:r>
            <w:r>
              <w:rPr>
                <w:rFonts w:hint="default" w:ascii="Times New Roman" w:hAnsi="Times New Roman" w:cs="Times New Roman"/>
                <w:color w:val="auto"/>
                <w:sz w:val="24"/>
                <w:szCs w:val="24"/>
              </w:rPr>
              <w:t>有关</w:t>
            </w:r>
            <w:r>
              <w:rPr>
                <w:rFonts w:hint="default" w:ascii="Times New Roman" w:hAnsi="Times New Roman" w:cs="Times New Roman"/>
                <w:color w:val="auto"/>
                <w:sz w:val="24"/>
                <w:szCs w:val="24"/>
                <w:lang w:val="en-US" w:eastAsia="zh-CN"/>
              </w:rPr>
              <w:t>技术规范</w:t>
            </w:r>
            <w:r>
              <w:rPr>
                <w:rFonts w:hint="default" w:ascii="Times New Roman" w:hAnsi="Times New Roman" w:cs="Times New Roman"/>
                <w:color w:val="auto"/>
                <w:sz w:val="24"/>
                <w:szCs w:val="24"/>
              </w:rPr>
              <w:t>，编写了本环境影响报告表。</w:t>
            </w:r>
          </w:p>
          <w:p w14:paraId="049E44AC">
            <w:pPr>
              <w:keepNext w:val="0"/>
              <w:keepLines w:val="0"/>
              <w:suppressLineNumbers w:val="0"/>
              <w:spacing w:before="0" w:beforeAutospacing="0" w:after="0" w:afterAutospacing="0" w:line="360" w:lineRule="auto"/>
              <w:ind w:left="0" w:right="0" w:firstLine="434" w:firstLineChars="180"/>
              <w:rPr>
                <w:rFonts w:hint="default" w:ascii="Times New Roman" w:hAnsi="Times New Roman" w:eastAsia="宋体" w:cs="Times New Roman"/>
                <w:color w:val="auto"/>
                <w:sz w:val="24"/>
                <w:szCs w:val="32"/>
                <w:highlight w:val="none"/>
                <w:lang w:eastAsia="zh-CN"/>
              </w:rPr>
            </w:pPr>
            <w:r>
              <w:rPr>
                <w:rFonts w:hint="default" w:ascii="Times New Roman" w:hAnsi="Times New Roman" w:eastAsia="宋体" w:cs="Times New Roman"/>
                <w:b/>
                <w:bCs/>
                <w:color w:val="auto"/>
                <w:sz w:val="24"/>
                <w:szCs w:val="32"/>
                <w:highlight w:val="none"/>
                <w:lang w:eastAsia="zh-CN"/>
              </w:rPr>
              <w:t>（</w:t>
            </w:r>
            <w:r>
              <w:rPr>
                <w:rFonts w:hint="default" w:ascii="Times New Roman" w:hAnsi="Times New Roman" w:eastAsia="宋体" w:cs="Times New Roman"/>
                <w:b/>
                <w:bCs/>
                <w:color w:val="auto"/>
                <w:sz w:val="24"/>
                <w:szCs w:val="32"/>
                <w:highlight w:val="none"/>
                <w:lang w:val="en-US" w:eastAsia="zh-CN"/>
              </w:rPr>
              <w:t>二</w:t>
            </w:r>
            <w:r>
              <w:rPr>
                <w:rFonts w:hint="default" w:ascii="Times New Roman" w:hAnsi="Times New Roman" w:eastAsia="宋体" w:cs="Times New Roman"/>
                <w:b/>
                <w:bCs/>
                <w:color w:val="auto"/>
                <w:sz w:val="24"/>
                <w:szCs w:val="32"/>
                <w:highlight w:val="none"/>
                <w:lang w:eastAsia="zh-CN"/>
              </w:rPr>
              <w:t>）</w:t>
            </w:r>
            <w:r>
              <w:rPr>
                <w:rFonts w:hint="default" w:ascii="Times New Roman" w:hAnsi="Times New Roman" w:eastAsia="宋体" w:cs="Times New Roman"/>
                <w:b/>
                <w:bCs/>
                <w:color w:val="auto"/>
                <w:sz w:val="24"/>
                <w:szCs w:val="32"/>
                <w:highlight w:val="none"/>
                <w:lang w:val="en-US" w:eastAsia="zh-CN"/>
              </w:rPr>
              <w:t>主要</w:t>
            </w:r>
            <w:r>
              <w:rPr>
                <w:rFonts w:hint="default" w:ascii="Times New Roman" w:hAnsi="Times New Roman" w:eastAsia="宋体" w:cs="Times New Roman"/>
                <w:b/>
                <w:bCs/>
                <w:color w:val="auto"/>
                <w:sz w:val="24"/>
                <w:szCs w:val="32"/>
                <w:highlight w:val="none"/>
              </w:rPr>
              <w:t>建设内容</w:t>
            </w:r>
          </w:p>
          <w:p w14:paraId="25A6CF09">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highlight w:val="none"/>
                <w:lang w:val="en-US" w:eastAsia="zh-CN" w:bidi="ar"/>
              </w:rPr>
            </w:pPr>
            <w:r>
              <w:rPr>
                <w:rFonts w:hint="eastAsia" w:ascii="Times New Roman" w:hAnsi="Times New Roman" w:eastAsia="宋体" w:cs="Times New Roman"/>
                <w:color w:val="auto"/>
                <w:kern w:val="2"/>
                <w:sz w:val="24"/>
                <w:szCs w:val="24"/>
                <w:highlight w:val="none"/>
                <w:lang w:val="en-US" w:eastAsia="zh-CN" w:bidi="ar"/>
              </w:rPr>
              <w:t>1、工程组成</w:t>
            </w:r>
          </w:p>
          <w:p w14:paraId="39329723">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32"/>
                <w:highlight w:val="none"/>
              </w:rPr>
            </w:pPr>
            <w:r>
              <w:rPr>
                <w:rFonts w:hint="default" w:ascii="Times New Roman" w:hAnsi="Times New Roman" w:eastAsia="宋体" w:cs="Times New Roman"/>
                <w:color w:val="auto"/>
                <w:kern w:val="2"/>
                <w:sz w:val="24"/>
                <w:szCs w:val="24"/>
                <w:highlight w:val="none"/>
                <w:lang w:val="en-US" w:eastAsia="zh-CN" w:bidi="ar"/>
              </w:rPr>
              <w:t>项目租赁1栋</w:t>
            </w:r>
            <w:r>
              <w:rPr>
                <w:rFonts w:hint="eastAsia" w:cs="Times New Roman"/>
                <w:color w:val="auto"/>
                <w:kern w:val="2"/>
                <w:sz w:val="24"/>
                <w:szCs w:val="24"/>
                <w:highlight w:val="none"/>
                <w:lang w:val="en-US" w:eastAsia="zh-CN" w:bidi="ar"/>
              </w:rPr>
              <w:t>2层的</w:t>
            </w:r>
            <w:r>
              <w:rPr>
                <w:rFonts w:hint="default" w:ascii="Times New Roman" w:hAnsi="Times New Roman" w:eastAsia="宋体" w:cs="Times New Roman"/>
                <w:color w:val="auto"/>
                <w:kern w:val="2"/>
                <w:sz w:val="24"/>
                <w:szCs w:val="24"/>
                <w:highlight w:val="none"/>
                <w:lang w:val="en-US" w:eastAsia="zh-CN" w:bidi="ar"/>
              </w:rPr>
              <w:t>工业厂房，占地面积为</w:t>
            </w:r>
            <w:r>
              <w:rPr>
                <w:rFonts w:hint="eastAsia" w:cs="Times New Roman"/>
                <w:color w:val="auto"/>
                <w:kern w:val="2"/>
                <w:sz w:val="24"/>
                <w:szCs w:val="24"/>
                <w:highlight w:val="none"/>
                <w:lang w:val="en-US" w:eastAsia="zh-CN" w:bidi="ar"/>
              </w:rPr>
              <w:t>1000</w:t>
            </w:r>
            <w:r>
              <w:rPr>
                <w:rFonts w:hint="default" w:ascii="Times New Roman" w:hAnsi="Times New Roman" w:eastAsia="宋体" w:cs="Times New Roman"/>
                <w:color w:val="auto"/>
                <w:kern w:val="2"/>
                <w:sz w:val="24"/>
                <w:szCs w:val="24"/>
                <w:highlight w:val="none"/>
                <w:lang w:val="en-US" w:eastAsia="zh-CN" w:bidi="ar"/>
              </w:rPr>
              <w:t>m</w:t>
            </w:r>
            <w:r>
              <w:rPr>
                <w:rFonts w:hint="default" w:ascii="Times New Roman" w:hAnsi="Times New Roman" w:eastAsia="宋体" w:cs="Times New Roman"/>
                <w:color w:val="auto"/>
                <w:kern w:val="2"/>
                <w:sz w:val="24"/>
                <w:szCs w:val="24"/>
                <w:highlight w:val="none"/>
                <w:vertAlign w:val="superscript"/>
                <w:lang w:val="en-US" w:eastAsia="zh-CN" w:bidi="ar"/>
              </w:rPr>
              <w:t>2</w:t>
            </w:r>
            <w:r>
              <w:rPr>
                <w:rFonts w:hint="default" w:ascii="Times New Roman" w:hAnsi="Times New Roman" w:eastAsia="宋体" w:cs="Times New Roman"/>
                <w:color w:val="auto"/>
                <w:kern w:val="2"/>
                <w:sz w:val="24"/>
                <w:szCs w:val="24"/>
                <w:highlight w:val="none"/>
                <w:lang w:val="en-US" w:eastAsia="zh-CN" w:bidi="ar"/>
              </w:rPr>
              <w:t>，建筑面积约</w:t>
            </w:r>
            <w:r>
              <w:rPr>
                <w:rFonts w:hint="eastAsia" w:cs="Times New Roman"/>
                <w:color w:val="auto"/>
                <w:kern w:val="2"/>
                <w:sz w:val="24"/>
                <w:szCs w:val="24"/>
                <w:highlight w:val="none"/>
                <w:lang w:val="en-US" w:eastAsia="zh-CN" w:bidi="ar"/>
              </w:rPr>
              <w:t>2000</w:t>
            </w:r>
            <w:r>
              <w:rPr>
                <w:rFonts w:hint="default" w:ascii="Times New Roman" w:hAnsi="Times New Roman" w:eastAsia="宋体" w:cs="Times New Roman"/>
                <w:color w:val="auto"/>
                <w:kern w:val="2"/>
                <w:sz w:val="24"/>
                <w:szCs w:val="24"/>
                <w:highlight w:val="none"/>
                <w:lang w:val="en-US" w:eastAsia="zh-CN" w:bidi="ar"/>
              </w:rPr>
              <w:t>m</w:t>
            </w:r>
            <w:r>
              <w:rPr>
                <w:rFonts w:hint="default" w:ascii="Times New Roman" w:hAnsi="Times New Roman" w:eastAsia="宋体" w:cs="Times New Roman"/>
                <w:color w:val="auto"/>
                <w:kern w:val="2"/>
                <w:sz w:val="24"/>
                <w:szCs w:val="24"/>
                <w:highlight w:val="none"/>
                <w:vertAlign w:val="superscript"/>
                <w:lang w:val="en-US" w:eastAsia="zh-CN" w:bidi="ar"/>
              </w:rPr>
              <w:t>2</w:t>
            </w:r>
            <w:r>
              <w:rPr>
                <w:rFonts w:hint="default" w:ascii="Times New Roman" w:hAnsi="Times New Roman" w:eastAsia="宋体" w:cs="Times New Roman"/>
                <w:color w:val="auto"/>
                <w:kern w:val="2"/>
                <w:sz w:val="24"/>
                <w:szCs w:val="24"/>
                <w:highlight w:val="none"/>
                <w:vertAlign w:val="baseline"/>
                <w:lang w:val="en-US" w:eastAsia="zh-CN" w:bidi="ar"/>
              </w:rPr>
              <w:t>。首层布置和纸卡为彩盒生产线的开料、印刷、过油等作业区，二层布置办公区和彩盒生产线的裱坑、粘盒作业区</w:t>
            </w:r>
            <w:r>
              <w:rPr>
                <w:rFonts w:hint="eastAsia" w:cs="Times New Roman"/>
                <w:color w:val="auto"/>
                <w:kern w:val="2"/>
                <w:sz w:val="24"/>
                <w:szCs w:val="24"/>
                <w:highlight w:val="none"/>
                <w:vertAlign w:val="baseline"/>
                <w:lang w:val="en-US" w:eastAsia="zh-CN" w:bidi="ar"/>
              </w:rPr>
              <w:t>、</w:t>
            </w:r>
            <w:r>
              <w:rPr>
                <w:rFonts w:hint="eastAsia" w:ascii="Times New Roman" w:hAnsi="Times New Roman" w:eastAsia="宋体" w:cs="Times New Roman"/>
                <w:color w:val="auto"/>
                <w:kern w:val="2"/>
                <w:sz w:val="24"/>
                <w:szCs w:val="24"/>
                <w:highlight w:val="none"/>
                <w:vertAlign w:val="baseline"/>
                <w:lang w:val="en-US" w:eastAsia="zh-CN" w:bidi="ar"/>
              </w:rPr>
              <w:t>一般固废暂存间和危废间（位于厂区1层的西北角）</w:t>
            </w:r>
            <w:r>
              <w:rPr>
                <w:rFonts w:hint="default" w:ascii="Times New Roman" w:hAnsi="Times New Roman" w:eastAsia="宋体" w:cs="Times New Roman"/>
                <w:color w:val="auto"/>
                <w:kern w:val="2"/>
                <w:sz w:val="24"/>
                <w:szCs w:val="24"/>
                <w:highlight w:val="none"/>
                <w:vertAlign w:val="baseline"/>
                <w:lang w:val="en-US" w:eastAsia="zh-CN" w:bidi="ar"/>
              </w:rPr>
              <w:t>，2层布置办公区</w:t>
            </w:r>
            <w:r>
              <w:rPr>
                <w:rFonts w:hint="eastAsia" w:cs="Times New Roman"/>
                <w:color w:val="auto"/>
                <w:kern w:val="2"/>
                <w:sz w:val="24"/>
                <w:szCs w:val="24"/>
                <w:highlight w:val="none"/>
                <w:vertAlign w:val="baseline"/>
                <w:lang w:val="en-US" w:eastAsia="zh-CN" w:bidi="ar"/>
              </w:rPr>
              <w:t>和彩盒</w:t>
            </w:r>
            <w:r>
              <w:rPr>
                <w:rFonts w:hint="default" w:ascii="Times New Roman" w:hAnsi="Times New Roman" w:eastAsia="宋体" w:cs="Times New Roman"/>
                <w:color w:val="auto"/>
                <w:kern w:val="2"/>
                <w:sz w:val="24"/>
                <w:szCs w:val="24"/>
                <w:highlight w:val="none"/>
                <w:vertAlign w:val="baseline"/>
                <w:lang w:val="en-US" w:eastAsia="zh-CN" w:bidi="ar"/>
              </w:rPr>
              <w:t>生产线的裱</w:t>
            </w:r>
            <w:r>
              <w:rPr>
                <w:rFonts w:hint="eastAsia" w:cs="Times New Roman"/>
                <w:color w:val="auto"/>
                <w:kern w:val="2"/>
                <w:sz w:val="24"/>
                <w:szCs w:val="24"/>
                <w:highlight w:val="none"/>
                <w:vertAlign w:val="baseline"/>
                <w:lang w:val="en-US" w:eastAsia="zh-CN" w:bidi="ar"/>
              </w:rPr>
              <w:t>坑和</w:t>
            </w:r>
            <w:r>
              <w:rPr>
                <w:rFonts w:hint="default" w:ascii="Times New Roman" w:hAnsi="Times New Roman" w:eastAsia="宋体" w:cs="Times New Roman"/>
                <w:color w:val="auto"/>
                <w:kern w:val="2"/>
                <w:sz w:val="24"/>
                <w:szCs w:val="24"/>
                <w:highlight w:val="none"/>
                <w:vertAlign w:val="baseline"/>
                <w:lang w:val="en-US" w:eastAsia="zh-CN" w:bidi="ar"/>
              </w:rPr>
              <w:t>粘盒工序</w:t>
            </w:r>
            <w:r>
              <w:rPr>
                <w:rFonts w:hint="default" w:ascii="Times New Roman" w:hAnsi="Times New Roman" w:eastAsia="宋体" w:cs="Times New Roman"/>
                <w:color w:val="auto"/>
                <w:kern w:val="2"/>
                <w:sz w:val="24"/>
                <w:szCs w:val="24"/>
                <w:highlight w:val="none"/>
                <w:lang w:val="en-US" w:eastAsia="zh-CN" w:bidi="ar"/>
              </w:rPr>
              <w:t>。具体平面布置见附图4</w:t>
            </w:r>
            <w:r>
              <w:rPr>
                <w:rFonts w:hint="eastAsia" w:cs="Times New Roman"/>
                <w:color w:val="auto"/>
                <w:kern w:val="2"/>
                <w:sz w:val="24"/>
                <w:szCs w:val="24"/>
                <w:highlight w:val="none"/>
                <w:lang w:val="en-US" w:eastAsia="zh-CN" w:bidi="ar"/>
              </w:rPr>
              <w:t>和附图5</w:t>
            </w:r>
            <w:r>
              <w:rPr>
                <w:rFonts w:hint="default" w:ascii="Times New Roman" w:hAnsi="Times New Roman" w:eastAsia="宋体" w:cs="Times New Roman"/>
                <w:color w:val="auto"/>
                <w:kern w:val="2"/>
                <w:sz w:val="24"/>
                <w:szCs w:val="24"/>
                <w:highlight w:val="none"/>
                <w:lang w:val="en-US" w:eastAsia="zh-CN" w:bidi="ar"/>
              </w:rPr>
              <w:t>。</w:t>
            </w:r>
          </w:p>
          <w:p w14:paraId="1B22D85A">
            <w:pPr>
              <w:keepNext w:val="0"/>
              <w:keepLines w:val="0"/>
              <w:suppressLineNumbers w:val="0"/>
              <w:spacing w:before="0" w:beforeAutospacing="0" w:after="0" w:afterAutospacing="0" w:line="360" w:lineRule="auto"/>
              <w:ind w:left="0" w:right="0" w:firstLine="432" w:firstLineChars="180"/>
              <w:rPr>
                <w:rFonts w:hint="default" w:ascii="Times New Roman" w:hAnsi="Times New Roman" w:eastAsia="宋体" w:cs="Times New Roman"/>
                <w:color w:val="auto"/>
                <w:sz w:val="24"/>
                <w:szCs w:val="32"/>
                <w:highlight w:val="none"/>
              </w:rPr>
            </w:pPr>
            <w:r>
              <w:rPr>
                <w:rFonts w:hint="default" w:ascii="Times New Roman" w:hAnsi="Times New Roman" w:eastAsia="宋体" w:cs="Times New Roman"/>
                <w:color w:val="auto"/>
                <w:sz w:val="24"/>
                <w:szCs w:val="32"/>
                <w:highlight w:val="none"/>
              </w:rPr>
              <w:t>项目主要工程组成见表</w:t>
            </w:r>
            <w:r>
              <w:rPr>
                <w:rFonts w:hint="eastAsia" w:cs="Times New Roman"/>
                <w:color w:val="auto"/>
                <w:sz w:val="24"/>
                <w:szCs w:val="32"/>
                <w:highlight w:val="none"/>
                <w:lang w:val="en-US" w:eastAsia="zh-CN"/>
              </w:rPr>
              <w:t>2-2</w:t>
            </w:r>
            <w:r>
              <w:rPr>
                <w:rFonts w:hint="default" w:ascii="Times New Roman" w:hAnsi="Times New Roman" w:eastAsia="宋体" w:cs="Times New Roman"/>
                <w:color w:val="auto"/>
                <w:sz w:val="24"/>
                <w:szCs w:val="32"/>
                <w:highlight w:val="none"/>
              </w:rPr>
              <w:t>。</w:t>
            </w:r>
          </w:p>
          <w:p w14:paraId="2B1ABADF">
            <w:pPr>
              <w:pStyle w:val="80"/>
              <w:keepNext w:val="0"/>
              <w:keepLines w:val="0"/>
              <w:suppressLineNumbers w:val="0"/>
              <w:spacing w:before="0" w:beforeAutospacing="0" w:after="0" w:afterAutospacing="0"/>
              <w:ind w:left="0" w:right="0"/>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表</w:t>
            </w:r>
            <w:r>
              <w:rPr>
                <w:rFonts w:hint="eastAsia" w:ascii="Times New Roman" w:cs="Times New Roman"/>
                <w:b/>
                <w:bCs/>
                <w:color w:val="auto"/>
                <w:highlight w:val="none"/>
                <w:lang w:val="en-US" w:eastAsia="zh-CN"/>
              </w:rPr>
              <w:t>2-2</w:t>
            </w:r>
            <w:r>
              <w:rPr>
                <w:rFonts w:hint="default" w:ascii="Times New Roman" w:hAnsi="Times New Roman" w:eastAsia="宋体" w:cs="Times New Roman"/>
                <w:b/>
                <w:bCs/>
                <w:color w:val="auto"/>
                <w:highlight w:val="none"/>
              </w:rPr>
              <w:t xml:space="preserve"> 项目工程组成一览表</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429"/>
              <w:gridCol w:w="1159"/>
              <w:gridCol w:w="5416"/>
            </w:tblGrid>
            <w:tr w14:paraId="78BD6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778" w:type="dxa"/>
                  <w:noWrap w:val="0"/>
                  <w:vAlign w:val="center"/>
                </w:tcPr>
                <w:p w14:paraId="3D9691A3">
                  <w:pPr>
                    <w:pStyle w:val="80"/>
                    <w:keepNext w:val="0"/>
                    <w:keepLines w:val="0"/>
                    <w:suppressLineNumbers w:val="0"/>
                    <w:spacing w:before="0" w:beforeAutospacing="0" w:after="0" w:afterAutospacing="0"/>
                    <w:ind w:left="0" w:right="0"/>
                    <w:rPr>
                      <w:rFonts w:hint="default" w:ascii="Times New Roman" w:hAnsi="Times New Roman" w:eastAsia="宋体" w:cs="Times New Roman"/>
                      <w:b/>
                      <w:color w:val="auto"/>
                      <w:kern w:val="2"/>
                      <w:szCs w:val="21"/>
                      <w:highlight w:val="none"/>
                    </w:rPr>
                  </w:pPr>
                  <w:r>
                    <w:rPr>
                      <w:rFonts w:hint="default" w:ascii="Times New Roman" w:hAnsi="Times New Roman" w:eastAsia="宋体" w:cs="Times New Roman"/>
                      <w:b/>
                      <w:color w:val="auto"/>
                      <w:kern w:val="2"/>
                      <w:szCs w:val="21"/>
                      <w:highlight w:val="none"/>
                    </w:rPr>
                    <w:t>类别</w:t>
                  </w:r>
                </w:p>
              </w:tc>
              <w:tc>
                <w:tcPr>
                  <w:tcW w:w="1588" w:type="dxa"/>
                  <w:gridSpan w:val="2"/>
                  <w:noWrap w:val="0"/>
                  <w:vAlign w:val="center"/>
                </w:tcPr>
                <w:p w14:paraId="27FFF747">
                  <w:pPr>
                    <w:pStyle w:val="80"/>
                    <w:keepNext w:val="0"/>
                    <w:keepLines w:val="0"/>
                    <w:suppressLineNumbers w:val="0"/>
                    <w:spacing w:before="0" w:beforeAutospacing="0" w:after="0" w:afterAutospacing="0"/>
                    <w:ind w:left="0" w:right="0"/>
                    <w:rPr>
                      <w:rFonts w:hint="default" w:ascii="Times New Roman" w:hAnsi="Times New Roman" w:eastAsia="宋体" w:cs="Times New Roman"/>
                      <w:b/>
                      <w:color w:val="auto"/>
                      <w:kern w:val="2"/>
                      <w:szCs w:val="21"/>
                      <w:highlight w:val="none"/>
                    </w:rPr>
                  </w:pPr>
                  <w:r>
                    <w:rPr>
                      <w:rFonts w:hint="default" w:ascii="Times New Roman" w:hAnsi="Times New Roman" w:eastAsia="宋体" w:cs="Times New Roman"/>
                      <w:b/>
                      <w:color w:val="auto"/>
                      <w:kern w:val="2"/>
                      <w:szCs w:val="21"/>
                      <w:highlight w:val="none"/>
                    </w:rPr>
                    <w:t>项目</w:t>
                  </w:r>
                </w:p>
              </w:tc>
              <w:tc>
                <w:tcPr>
                  <w:tcW w:w="5416" w:type="dxa"/>
                  <w:noWrap w:val="0"/>
                  <w:vAlign w:val="center"/>
                </w:tcPr>
                <w:p w14:paraId="35B2C068">
                  <w:pPr>
                    <w:pStyle w:val="80"/>
                    <w:keepNext w:val="0"/>
                    <w:keepLines w:val="0"/>
                    <w:suppressLineNumbers w:val="0"/>
                    <w:spacing w:before="0" w:beforeAutospacing="0" w:after="0" w:afterAutospacing="0"/>
                    <w:ind w:left="0" w:right="0"/>
                    <w:rPr>
                      <w:rFonts w:hint="default" w:ascii="Times New Roman" w:hAnsi="Times New Roman" w:eastAsia="宋体" w:cs="Times New Roman"/>
                      <w:b/>
                      <w:color w:val="auto"/>
                      <w:kern w:val="2"/>
                      <w:szCs w:val="21"/>
                      <w:highlight w:val="none"/>
                    </w:rPr>
                  </w:pPr>
                  <w:r>
                    <w:rPr>
                      <w:rFonts w:hint="eastAsia" w:ascii="Times New Roman" w:eastAsia="宋体" w:cs="Times New Roman"/>
                      <w:b/>
                      <w:color w:val="auto"/>
                      <w:kern w:val="2"/>
                      <w:szCs w:val="21"/>
                      <w:highlight w:val="none"/>
                      <w:lang w:val="en-US" w:eastAsia="zh-CN"/>
                    </w:rPr>
                    <w:t>主要</w:t>
                  </w:r>
                  <w:r>
                    <w:rPr>
                      <w:rFonts w:hint="default" w:ascii="Times New Roman" w:hAnsi="Times New Roman" w:eastAsia="宋体" w:cs="Times New Roman"/>
                      <w:b/>
                      <w:color w:val="auto"/>
                      <w:kern w:val="2"/>
                      <w:szCs w:val="21"/>
                      <w:highlight w:val="none"/>
                    </w:rPr>
                    <w:t>工程内容</w:t>
                  </w:r>
                </w:p>
              </w:tc>
            </w:tr>
            <w:tr w14:paraId="29994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778" w:type="dxa"/>
                  <w:vMerge w:val="restart"/>
                  <w:noWrap w:val="0"/>
                  <w:vAlign w:val="center"/>
                </w:tcPr>
                <w:p w14:paraId="7938D043">
                  <w:pPr>
                    <w:pStyle w:val="80"/>
                    <w:keepNext w:val="0"/>
                    <w:keepLines w:val="0"/>
                    <w:suppressLineNumbers w:val="0"/>
                    <w:spacing w:before="0" w:beforeAutospacing="0" w:after="0" w:afterAutospacing="0"/>
                    <w:ind w:left="0" w:right="0"/>
                    <w:rPr>
                      <w:rFonts w:hint="default" w:ascii="Times New Roman" w:hAnsi="Times New Roman" w:eastAsia="宋体" w:cs="Times New Roman"/>
                      <w:bCs/>
                      <w:color w:val="auto"/>
                      <w:kern w:val="2"/>
                      <w:szCs w:val="21"/>
                      <w:highlight w:val="none"/>
                    </w:rPr>
                  </w:pPr>
                  <w:r>
                    <w:rPr>
                      <w:rFonts w:hint="default" w:ascii="Times New Roman" w:hAnsi="Times New Roman" w:eastAsia="宋体" w:cs="Times New Roman"/>
                      <w:bCs/>
                      <w:color w:val="auto"/>
                      <w:kern w:val="2"/>
                      <w:szCs w:val="21"/>
                      <w:highlight w:val="none"/>
                    </w:rPr>
                    <w:t>主体工程</w:t>
                  </w:r>
                </w:p>
              </w:tc>
              <w:tc>
                <w:tcPr>
                  <w:tcW w:w="1588" w:type="dxa"/>
                  <w:gridSpan w:val="2"/>
                  <w:vMerge w:val="restart"/>
                  <w:noWrap w:val="0"/>
                  <w:vAlign w:val="center"/>
                </w:tcPr>
                <w:p w14:paraId="7D36B710">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kern w:val="2"/>
                      <w:szCs w:val="21"/>
                      <w:highlight w:val="none"/>
                      <w:lang w:val="en-US" w:eastAsia="zh-CN"/>
                    </w:rPr>
                  </w:pPr>
                  <w:r>
                    <w:rPr>
                      <w:rFonts w:hint="default" w:ascii="Times New Roman" w:hAnsi="Times New Roman" w:eastAsia="宋体" w:cs="Times New Roman"/>
                      <w:bCs/>
                      <w:color w:val="auto"/>
                      <w:kern w:val="2"/>
                      <w:szCs w:val="21"/>
                      <w:highlight w:val="none"/>
                      <w:lang w:val="en-US" w:eastAsia="zh-CN"/>
                    </w:rPr>
                    <w:t>生产厂房</w:t>
                  </w:r>
                  <w:r>
                    <w:rPr>
                      <w:rFonts w:hint="eastAsia" w:ascii="Times New Roman" w:cs="Times New Roman"/>
                      <w:bCs/>
                      <w:color w:val="auto"/>
                      <w:kern w:val="2"/>
                      <w:szCs w:val="21"/>
                      <w:highlight w:val="none"/>
                      <w:lang w:val="en-US" w:eastAsia="zh-CN"/>
                    </w:rPr>
                    <w:t>（2层）</w:t>
                  </w:r>
                </w:p>
              </w:tc>
              <w:tc>
                <w:tcPr>
                  <w:tcW w:w="5416" w:type="dxa"/>
                  <w:noWrap w:val="0"/>
                  <w:vAlign w:val="center"/>
                </w:tcPr>
                <w:p w14:paraId="77AA50DB">
                  <w:pPr>
                    <w:pStyle w:val="80"/>
                    <w:keepNext w:val="0"/>
                    <w:keepLines w:val="0"/>
                    <w:suppressLineNumbers w:val="0"/>
                    <w:spacing w:before="0" w:beforeAutospacing="0" w:after="0" w:afterAutospacing="0"/>
                    <w:ind w:left="0" w:right="0"/>
                    <w:jc w:val="left"/>
                    <w:rPr>
                      <w:rFonts w:hint="default" w:ascii="Times New Roman" w:hAnsi="Times New Roman" w:eastAsia="宋体" w:cs="Times New Roman"/>
                      <w:bCs/>
                      <w:color w:val="auto"/>
                      <w:kern w:val="2"/>
                      <w:szCs w:val="21"/>
                      <w:highlight w:val="none"/>
                      <w:lang w:val="en-US"/>
                    </w:rPr>
                  </w:pPr>
                  <w:r>
                    <w:rPr>
                      <w:rFonts w:hint="eastAsia" w:ascii="Times New Roman" w:cs="Times New Roman"/>
                      <w:bCs/>
                      <w:color w:val="auto"/>
                      <w:kern w:val="2"/>
                      <w:szCs w:val="21"/>
                      <w:highlight w:val="none"/>
                      <w:lang w:val="en-US" w:eastAsia="zh-CN"/>
                    </w:rPr>
                    <w:t>1</w:t>
                  </w:r>
                  <w:r>
                    <w:rPr>
                      <w:rFonts w:hint="default" w:ascii="Times New Roman" w:hAnsi="Times New Roman" w:eastAsia="宋体" w:cs="Times New Roman"/>
                      <w:bCs/>
                      <w:color w:val="auto"/>
                      <w:kern w:val="2"/>
                      <w:szCs w:val="21"/>
                      <w:highlight w:val="none"/>
                    </w:rPr>
                    <w:t>层，占地面积</w:t>
                  </w:r>
                  <w:r>
                    <w:rPr>
                      <w:rFonts w:hint="eastAsia" w:ascii="Times New Roman" w:cs="Times New Roman"/>
                      <w:bCs/>
                      <w:color w:val="auto"/>
                      <w:kern w:val="2"/>
                      <w:szCs w:val="21"/>
                      <w:highlight w:val="none"/>
                      <w:lang w:val="en-US" w:eastAsia="zh-CN"/>
                    </w:rPr>
                    <w:t>1000</w:t>
                  </w:r>
                  <w:r>
                    <w:rPr>
                      <w:rFonts w:hint="default" w:ascii="Times New Roman" w:hAnsi="Times New Roman" w:eastAsia="宋体" w:cs="Times New Roman"/>
                      <w:bCs/>
                      <w:color w:val="auto"/>
                      <w:kern w:val="2"/>
                      <w:szCs w:val="21"/>
                      <w:highlight w:val="none"/>
                    </w:rPr>
                    <w:t>m</w:t>
                  </w:r>
                  <w:r>
                    <w:rPr>
                      <w:rFonts w:hint="default" w:ascii="Times New Roman" w:hAnsi="Times New Roman" w:eastAsia="宋体" w:cs="Times New Roman"/>
                      <w:bCs/>
                      <w:color w:val="auto"/>
                      <w:kern w:val="2"/>
                      <w:szCs w:val="21"/>
                      <w:highlight w:val="none"/>
                      <w:vertAlign w:val="superscript"/>
                    </w:rPr>
                    <w:t>2</w:t>
                  </w:r>
                  <w:r>
                    <w:rPr>
                      <w:rFonts w:hint="default" w:ascii="Times New Roman" w:hAnsi="Times New Roman" w:eastAsia="宋体" w:cs="Times New Roman"/>
                      <w:bCs/>
                      <w:color w:val="auto"/>
                      <w:kern w:val="2"/>
                      <w:szCs w:val="21"/>
                      <w:highlight w:val="none"/>
                    </w:rPr>
                    <w:t>，</w:t>
                  </w:r>
                  <w:r>
                    <w:rPr>
                      <w:rFonts w:hint="default" w:ascii="Times New Roman" w:hAnsi="Times New Roman" w:eastAsia="宋体" w:cs="Times New Roman"/>
                      <w:bCs/>
                      <w:color w:val="auto"/>
                      <w:kern w:val="2"/>
                      <w:szCs w:val="21"/>
                      <w:highlight w:val="none"/>
                      <w:lang w:val="en-US" w:eastAsia="zh-CN"/>
                    </w:rPr>
                    <w:t>建筑面积</w:t>
                  </w:r>
                  <w:r>
                    <w:rPr>
                      <w:rFonts w:hint="eastAsia" w:ascii="Times New Roman" w:cs="Times New Roman"/>
                      <w:bCs/>
                      <w:color w:val="auto"/>
                      <w:kern w:val="2"/>
                      <w:szCs w:val="21"/>
                      <w:highlight w:val="none"/>
                      <w:lang w:val="en-US" w:eastAsia="zh-CN"/>
                    </w:rPr>
                    <w:t>1000</w:t>
                  </w:r>
                  <w:r>
                    <w:rPr>
                      <w:rFonts w:hint="default" w:ascii="Times New Roman" w:hAnsi="Times New Roman" w:eastAsia="宋体" w:cs="Times New Roman"/>
                      <w:bCs/>
                      <w:color w:val="auto"/>
                      <w:kern w:val="2"/>
                      <w:szCs w:val="21"/>
                      <w:highlight w:val="none"/>
                      <w:lang w:val="en-US" w:eastAsia="zh-CN"/>
                    </w:rPr>
                    <w:t>m</w:t>
                  </w:r>
                  <w:r>
                    <w:rPr>
                      <w:rFonts w:hint="default" w:ascii="Times New Roman" w:hAnsi="Times New Roman" w:eastAsia="宋体" w:cs="Times New Roman"/>
                      <w:bCs/>
                      <w:color w:val="auto"/>
                      <w:kern w:val="2"/>
                      <w:szCs w:val="21"/>
                      <w:highlight w:val="none"/>
                      <w:vertAlign w:val="superscript"/>
                      <w:lang w:val="en-US" w:eastAsia="zh-CN"/>
                    </w:rPr>
                    <w:t>2</w:t>
                  </w:r>
                  <w:r>
                    <w:rPr>
                      <w:rFonts w:hint="default" w:ascii="Times New Roman" w:hAnsi="Times New Roman" w:eastAsia="宋体" w:cs="Times New Roman"/>
                      <w:bCs/>
                      <w:color w:val="auto"/>
                      <w:kern w:val="2"/>
                      <w:szCs w:val="21"/>
                      <w:highlight w:val="none"/>
                      <w:vertAlign w:val="baseline"/>
                      <w:lang w:val="en-US" w:eastAsia="zh-CN"/>
                    </w:rPr>
                    <w:t>。</w:t>
                  </w:r>
                  <w:r>
                    <w:rPr>
                      <w:rFonts w:hint="default" w:ascii="Times New Roman" w:hAnsi="Times New Roman" w:eastAsia="宋体" w:cs="Times New Roman"/>
                      <w:bCs/>
                      <w:color w:val="auto"/>
                      <w:kern w:val="2"/>
                      <w:szCs w:val="21"/>
                      <w:highlight w:val="none"/>
                      <w:lang w:val="en-US" w:eastAsia="zh-CN"/>
                    </w:rPr>
                    <w:t>布置</w:t>
                  </w:r>
                  <w:r>
                    <w:rPr>
                      <w:rFonts w:hint="eastAsia" w:ascii="Times New Roman" w:cs="Times New Roman"/>
                      <w:bCs/>
                      <w:color w:val="auto"/>
                      <w:kern w:val="2"/>
                      <w:szCs w:val="21"/>
                      <w:highlight w:val="none"/>
                      <w:lang w:val="en-US" w:eastAsia="zh-CN"/>
                    </w:rPr>
                    <w:t>切纸区、裱坑纸区、切模区、裱卡区、啤机区、印刷区、原料储存区、过油区、一般固废暂存间（30m</w:t>
                  </w:r>
                  <w:r>
                    <w:rPr>
                      <w:rFonts w:hint="eastAsia" w:ascii="Times New Roman" w:cs="Times New Roman"/>
                      <w:bCs/>
                      <w:color w:val="auto"/>
                      <w:kern w:val="2"/>
                      <w:szCs w:val="21"/>
                      <w:highlight w:val="none"/>
                      <w:vertAlign w:val="superscript"/>
                      <w:lang w:val="en-US" w:eastAsia="zh-CN"/>
                    </w:rPr>
                    <w:t>2</w:t>
                  </w:r>
                  <w:r>
                    <w:rPr>
                      <w:rFonts w:hint="eastAsia" w:ascii="Times New Roman" w:cs="Times New Roman"/>
                      <w:bCs/>
                      <w:color w:val="auto"/>
                      <w:kern w:val="2"/>
                      <w:szCs w:val="21"/>
                      <w:highlight w:val="none"/>
                      <w:lang w:val="en-US" w:eastAsia="zh-CN"/>
                    </w:rPr>
                    <w:t>）</w:t>
                  </w:r>
                  <w:r>
                    <w:rPr>
                      <w:rFonts w:hint="eastAsia" w:ascii="Times New Roman" w:cs="Times New Roman"/>
                      <w:bCs/>
                      <w:color w:val="auto"/>
                      <w:kern w:val="2"/>
                      <w:szCs w:val="21"/>
                      <w:highlight w:val="none"/>
                      <w:lang w:val="en-US" w:eastAsia="zh-CN"/>
                    </w:rPr>
                    <w:t>、仓库和危废间（5m</w:t>
                  </w:r>
                  <w:r>
                    <w:rPr>
                      <w:rFonts w:hint="eastAsia" w:ascii="Times New Roman" w:cs="Times New Roman"/>
                      <w:bCs/>
                      <w:color w:val="auto"/>
                      <w:kern w:val="2"/>
                      <w:szCs w:val="21"/>
                      <w:highlight w:val="none"/>
                      <w:vertAlign w:val="superscript"/>
                      <w:lang w:val="en-US" w:eastAsia="zh-CN"/>
                    </w:rPr>
                    <w:t>2</w:t>
                  </w:r>
                  <w:r>
                    <w:rPr>
                      <w:rFonts w:hint="eastAsia" w:ascii="Times New Roman" w:cs="Times New Roman"/>
                      <w:bCs/>
                      <w:color w:val="auto"/>
                      <w:kern w:val="2"/>
                      <w:szCs w:val="21"/>
                      <w:highlight w:val="none"/>
                      <w:lang w:val="en-US" w:eastAsia="zh-CN"/>
                    </w:rPr>
                    <w:t>）</w:t>
                  </w:r>
                  <w:r>
                    <w:rPr>
                      <w:rFonts w:hint="eastAsia" w:ascii="Times New Roman" w:eastAsia="宋体" w:cs="Times New Roman"/>
                      <w:bCs/>
                      <w:color w:val="auto"/>
                      <w:kern w:val="2"/>
                      <w:szCs w:val="21"/>
                      <w:highlight w:val="none"/>
                      <w:lang w:val="en-US" w:eastAsia="zh-CN"/>
                    </w:rPr>
                    <w:t>。</w:t>
                  </w:r>
                </w:p>
              </w:tc>
            </w:tr>
            <w:tr w14:paraId="23656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778" w:type="dxa"/>
                  <w:vMerge w:val="continue"/>
                  <w:noWrap w:val="0"/>
                  <w:vAlign w:val="center"/>
                </w:tcPr>
                <w:p w14:paraId="1484A618">
                  <w:pPr>
                    <w:pStyle w:val="80"/>
                    <w:keepNext w:val="0"/>
                    <w:keepLines w:val="0"/>
                    <w:suppressLineNumbers w:val="0"/>
                    <w:spacing w:before="0" w:beforeAutospacing="0" w:after="0" w:afterAutospacing="0"/>
                    <w:ind w:left="0" w:right="0"/>
                    <w:rPr>
                      <w:rFonts w:hint="default" w:ascii="Times New Roman" w:hAnsi="Times New Roman" w:eastAsia="宋体" w:cs="Times New Roman"/>
                      <w:bCs/>
                      <w:color w:val="auto"/>
                      <w:kern w:val="2"/>
                      <w:szCs w:val="21"/>
                      <w:highlight w:val="none"/>
                    </w:rPr>
                  </w:pPr>
                </w:p>
              </w:tc>
              <w:tc>
                <w:tcPr>
                  <w:tcW w:w="1588" w:type="dxa"/>
                  <w:gridSpan w:val="2"/>
                  <w:vMerge w:val="continue"/>
                  <w:noWrap w:val="0"/>
                  <w:vAlign w:val="center"/>
                </w:tcPr>
                <w:p w14:paraId="011BF16D">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kern w:val="2"/>
                      <w:szCs w:val="21"/>
                      <w:highlight w:val="none"/>
                      <w:lang w:val="en-US" w:eastAsia="zh-CN"/>
                    </w:rPr>
                  </w:pPr>
                </w:p>
              </w:tc>
              <w:tc>
                <w:tcPr>
                  <w:tcW w:w="5416" w:type="dxa"/>
                  <w:noWrap w:val="0"/>
                  <w:vAlign w:val="center"/>
                </w:tcPr>
                <w:p w14:paraId="5296D781">
                  <w:pPr>
                    <w:pStyle w:val="80"/>
                    <w:keepNext w:val="0"/>
                    <w:keepLines w:val="0"/>
                    <w:suppressLineNumbers w:val="0"/>
                    <w:spacing w:before="0" w:beforeAutospacing="0" w:after="0" w:afterAutospacing="0"/>
                    <w:ind w:left="0" w:right="0"/>
                    <w:jc w:val="left"/>
                    <w:rPr>
                      <w:rFonts w:hint="eastAsia" w:ascii="Times New Roman" w:cs="Times New Roman"/>
                      <w:bCs/>
                      <w:color w:val="auto"/>
                      <w:kern w:val="2"/>
                      <w:szCs w:val="21"/>
                      <w:highlight w:val="none"/>
                      <w:lang w:val="en-US" w:eastAsia="zh-CN"/>
                    </w:rPr>
                  </w:pPr>
                  <w:r>
                    <w:rPr>
                      <w:rFonts w:hint="eastAsia" w:ascii="Times New Roman" w:cs="Times New Roman"/>
                      <w:bCs/>
                      <w:color w:val="auto"/>
                      <w:kern w:val="2"/>
                      <w:szCs w:val="21"/>
                      <w:highlight w:val="none"/>
                      <w:lang w:val="en-US" w:eastAsia="zh-CN"/>
                    </w:rPr>
                    <w:t>2</w:t>
                  </w:r>
                  <w:r>
                    <w:rPr>
                      <w:rFonts w:hint="default" w:ascii="Times New Roman" w:hAnsi="Times New Roman" w:eastAsia="宋体" w:cs="Times New Roman"/>
                      <w:bCs/>
                      <w:color w:val="auto"/>
                      <w:kern w:val="2"/>
                      <w:szCs w:val="21"/>
                      <w:highlight w:val="none"/>
                    </w:rPr>
                    <w:t>层，</w:t>
                  </w:r>
                  <w:r>
                    <w:rPr>
                      <w:rFonts w:hint="default" w:ascii="Times New Roman" w:hAnsi="Times New Roman" w:eastAsia="宋体" w:cs="Times New Roman"/>
                      <w:bCs/>
                      <w:color w:val="auto"/>
                      <w:kern w:val="2"/>
                      <w:szCs w:val="21"/>
                      <w:highlight w:val="none"/>
                      <w:lang w:val="en-US" w:eastAsia="zh-CN"/>
                    </w:rPr>
                    <w:t>建筑面积</w:t>
                  </w:r>
                  <w:r>
                    <w:rPr>
                      <w:rFonts w:hint="eastAsia" w:ascii="Times New Roman" w:cs="Times New Roman"/>
                      <w:bCs/>
                      <w:color w:val="auto"/>
                      <w:kern w:val="2"/>
                      <w:szCs w:val="21"/>
                      <w:highlight w:val="none"/>
                      <w:lang w:val="en-US" w:eastAsia="zh-CN"/>
                    </w:rPr>
                    <w:t>1000</w:t>
                  </w:r>
                  <w:r>
                    <w:rPr>
                      <w:rFonts w:hint="default" w:ascii="Times New Roman" w:hAnsi="Times New Roman" w:eastAsia="宋体" w:cs="Times New Roman"/>
                      <w:bCs/>
                      <w:color w:val="auto"/>
                      <w:kern w:val="2"/>
                      <w:szCs w:val="21"/>
                      <w:highlight w:val="none"/>
                      <w:lang w:val="en-US" w:eastAsia="zh-CN"/>
                    </w:rPr>
                    <w:t>m</w:t>
                  </w:r>
                  <w:r>
                    <w:rPr>
                      <w:rFonts w:hint="default" w:ascii="Times New Roman" w:hAnsi="Times New Roman" w:eastAsia="宋体" w:cs="Times New Roman"/>
                      <w:bCs/>
                      <w:color w:val="auto"/>
                      <w:kern w:val="2"/>
                      <w:szCs w:val="21"/>
                      <w:highlight w:val="none"/>
                      <w:vertAlign w:val="superscript"/>
                      <w:lang w:val="en-US" w:eastAsia="zh-CN"/>
                    </w:rPr>
                    <w:t>2</w:t>
                  </w:r>
                  <w:r>
                    <w:rPr>
                      <w:rFonts w:hint="default" w:ascii="Times New Roman" w:hAnsi="Times New Roman" w:eastAsia="宋体" w:cs="Times New Roman"/>
                      <w:bCs/>
                      <w:color w:val="auto"/>
                      <w:kern w:val="2"/>
                      <w:szCs w:val="21"/>
                      <w:highlight w:val="none"/>
                      <w:vertAlign w:val="baseline"/>
                      <w:lang w:val="en-US" w:eastAsia="zh-CN"/>
                    </w:rPr>
                    <w:t>。</w:t>
                  </w:r>
                  <w:r>
                    <w:rPr>
                      <w:rFonts w:hint="default" w:ascii="Times New Roman" w:hAnsi="Times New Roman" w:eastAsia="宋体" w:cs="Times New Roman"/>
                      <w:bCs/>
                      <w:color w:val="auto"/>
                      <w:kern w:val="2"/>
                      <w:szCs w:val="21"/>
                      <w:highlight w:val="none"/>
                      <w:lang w:val="en-US" w:eastAsia="zh-CN"/>
                    </w:rPr>
                    <w:t>布置</w:t>
                  </w:r>
                  <w:r>
                    <w:rPr>
                      <w:rFonts w:hint="eastAsia" w:ascii="Times New Roman" w:cs="Times New Roman"/>
                      <w:bCs/>
                      <w:color w:val="auto"/>
                      <w:kern w:val="2"/>
                      <w:szCs w:val="21"/>
                      <w:highlight w:val="none"/>
                      <w:lang w:val="en-US" w:eastAsia="zh-CN"/>
                    </w:rPr>
                    <w:t>裱坑区、粘盒区、成品区、手工盒生产线和办公区</w:t>
                  </w:r>
                  <w:r>
                    <w:rPr>
                      <w:rFonts w:hint="eastAsia" w:ascii="Times New Roman" w:eastAsia="宋体" w:cs="Times New Roman"/>
                      <w:bCs/>
                      <w:color w:val="auto"/>
                      <w:kern w:val="2"/>
                      <w:szCs w:val="21"/>
                      <w:highlight w:val="none"/>
                      <w:lang w:val="en-US" w:eastAsia="zh-CN"/>
                    </w:rPr>
                    <w:t>。</w:t>
                  </w:r>
                </w:p>
              </w:tc>
            </w:tr>
            <w:tr w14:paraId="5062B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778" w:type="dxa"/>
                  <w:vMerge w:val="restart"/>
                  <w:noWrap w:val="0"/>
                  <w:vAlign w:val="center"/>
                </w:tcPr>
                <w:p w14:paraId="0E30E370">
                  <w:pPr>
                    <w:pStyle w:val="80"/>
                    <w:keepNext w:val="0"/>
                    <w:keepLines w:val="0"/>
                    <w:suppressLineNumbers w:val="0"/>
                    <w:spacing w:before="0" w:beforeAutospacing="0" w:after="0" w:afterAutospacing="0"/>
                    <w:ind w:left="0" w:right="0"/>
                    <w:rPr>
                      <w:rFonts w:hint="default" w:ascii="Times New Roman" w:hAnsi="Times New Roman" w:eastAsia="宋体" w:cs="Times New Roman"/>
                      <w:bCs/>
                      <w:color w:val="auto"/>
                      <w:kern w:val="2"/>
                      <w:szCs w:val="21"/>
                      <w:highlight w:val="none"/>
                    </w:rPr>
                  </w:pPr>
                  <w:r>
                    <w:rPr>
                      <w:rFonts w:hint="default" w:ascii="Times New Roman" w:hAnsi="Times New Roman" w:eastAsia="宋体" w:cs="Times New Roman"/>
                      <w:bCs/>
                      <w:color w:val="auto"/>
                      <w:kern w:val="2"/>
                      <w:szCs w:val="21"/>
                      <w:highlight w:val="none"/>
                    </w:rPr>
                    <w:t>储运工程</w:t>
                  </w:r>
                </w:p>
              </w:tc>
              <w:tc>
                <w:tcPr>
                  <w:tcW w:w="1588" w:type="dxa"/>
                  <w:gridSpan w:val="2"/>
                  <w:noWrap w:val="0"/>
                  <w:vAlign w:val="center"/>
                </w:tcPr>
                <w:p w14:paraId="5AA6E96A">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kern w:val="2"/>
                      <w:szCs w:val="21"/>
                      <w:highlight w:val="none"/>
                    </w:rPr>
                  </w:pPr>
                  <w:r>
                    <w:rPr>
                      <w:rFonts w:hint="default" w:ascii="Times New Roman" w:hAnsi="Times New Roman" w:eastAsia="宋体" w:cs="Times New Roman"/>
                      <w:bCs/>
                      <w:color w:val="auto"/>
                      <w:kern w:val="2"/>
                      <w:szCs w:val="21"/>
                      <w:highlight w:val="none"/>
                    </w:rPr>
                    <w:t>储存</w:t>
                  </w:r>
                </w:p>
              </w:tc>
              <w:tc>
                <w:tcPr>
                  <w:tcW w:w="5416" w:type="dxa"/>
                  <w:noWrap w:val="0"/>
                  <w:vAlign w:val="center"/>
                </w:tcPr>
                <w:p w14:paraId="14E73092">
                  <w:pPr>
                    <w:pStyle w:val="80"/>
                    <w:keepNext w:val="0"/>
                    <w:keepLines w:val="0"/>
                    <w:suppressLineNumbers w:val="0"/>
                    <w:spacing w:before="0" w:beforeAutospacing="0" w:after="0" w:afterAutospacing="0"/>
                    <w:ind w:left="0" w:right="0"/>
                    <w:jc w:val="left"/>
                    <w:rPr>
                      <w:rFonts w:hint="default" w:ascii="Times New Roman" w:hAnsi="Times New Roman" w:eastAsia="宋体" w:cs="Times New Roman"/>
                      <w:bCs/>
                      <w:color w:val="auto"/>
                      <w:kern w:val="2"/>
                      <w:szCs w:val="21"/>
                      <w:highlight w:val="none"/>
                      <w:lang w:val="en-US"/>
                    </w:rPr>
                  </w:pPr>
                  <w:r>
                    <w:rPr>
                      <w:rFonts w:hint="default" w:ascii="Times New Roman" w:hAnsi="Times New Roman" w:eastAsia="宋体" w:cs="Times New Roman"/>
                      <w:bCs/>
                      <w:color w:val="auto"/>
                      <w:kern w:val="2"/>
                      <w:szCs w:val="21"/>
                      <w:highlight w:val="none"/>
                      <w:lang w:val="en-US" w:eastAsia="zh-CN"/>
                    </w:rPr>
                    <w:t>原料存放于</w:t>
                  </w:r>
                  <w:r>
                    <w:rPr>
                      <w:rFonts w:hint="eastAsia" w:ascii="Times New Roman" w:cs="Times New Roman"/>
                      <w:bCs/>
                      <w:color w:val="auto"/>
                      <w:kern w:val="2"/>
                      <w:szCs w:val="21"/>
                      <w:highlight w:val="none"/>
                      <w:lang w:val="en-US" w:eastAsia="zh-CN"/>
                    </w:rPr>
                    <w:t>原料储存区</w:t>
                  </w:r>
                  <w:r>
                    <w:rPr>
                      <w:rFonts w:hint="default" w:ascii="Times New Roman" w:hAnsi="Times New Roman" w:eastAsia="宋体" w:cs="Times New Roman"/>
                      <w:bCs/>
                      <w:color w:val="auto"/>
                      <w:kern w:val="2"/>
                      <w:szCs w:val="21"/>
                      <w:highlight w:val="none"/>
                      <w:lang w:val="en-US" w:eastAsia="zh-CN"/>
                    </w:rPr>
                    <w:t>、</w:t>
                  </w:r>
                  <w:r>
                    <w:rPr>
                      <w:rFonts w:hint="eastAsia" w:ascii="Times New Roman" w:cs="Times New Roman"/>
                      <w:bCs/>
                      <w:color w:val="auto"/>
                      <w:kern w:val="2"/>
                      <w:szCs w:val="21"/>
                      <w:highlight w:val="none"/>
                      <w:lang w:val="en-US" w:eastAsia="zh-CN"/>
                    </w:rPr>
                    <w:t>仓库和成品区</w:t>
                  </w:r>
                  <w:r>
                    <w:rPr>
                      <w:rFonts w:hint="default" w:ascii="Times New Roman" w:hAnsi="Times New Roman" w:eastAsia="宋体" w:cs="Times New Roman"/>
                      <w:bCs/>
                      <w:color w:val="auto"/>
                      <w:kern w:val="2"/>
                      <w:szCs w:val="21"/>
                      <w:highlight w:val="none"/>
                      <w:lang w:val="en-US" w:eastAsia="zh-CN"/>
                    </w:rPr>
                    <w:t>，</w:t>
                  </w:r>
                  <w:r>
                    <w:rPr>
                      <w:rFonts w:hint="eastAsia" w:ascii="Times New Roman" w:eastAsia="宋体" w:cs="Times New Roman"/>
                      <w:bCs/>
                      <w:color w:val="auto"/>
                      <w:kern w:val="2"/>
                      <w:szCs w:val="21"/>
                      <w:highlight w:val="none"/>
                      <w:lang w:val="en-US" w:eastAsia="zh-CN"/>
                    </w:rPr>
                    <w:t>桶装密封储存。</w:t>
                  </w:r>
                  <w:r>
                    <w:rPr>
                      <w:rFonts w:hint="default" w:ascii="Times New Roman" w:hAnsi="Times New Roman" w:eastAsia="宋体" w:cs="Times New Roman"/>
                      <w:bCs/>
                      <w:color w:val="auto"/>
                      <w:kern w:val="2"/>
                      <w:szCs w:val="21"/>
                      <w:highlight w:val="none"/>
                      <w:lang w:val="en-US" w:eastAsia="zh-CN"/>
                    </w:rPr>
                    <w:t>成品存放于成品区，均位于厂房内</w:t>
                  </w:r>
                </w:p>
              </w:tc>
            </w:tr>
            <w:tr w14:paraId="6368A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778" w:type="dxa"/>
                  <w:vMerge w:val="continue"/>
                  <w:noWrap w:val="0"/>
                  <w:vAlign w:val="center"/>
                </w:tcPr>
                <w:p w14:paraId="6E8A2F13">
                  <w:pPr>
                    <w:pStyle w:val="80"/>
                    <w:keepNext w:val="0"/>
                    <w:keepLines w:val="0"/>
                    <w:suppressLineNumbers w:val="0"/>
                    <w:spacing w:before="0" w:beforeAutospacing="0" w:after="0" w:afterAutospacing="0"/>
                    <w:ind w:left="0" w:right="0"/>
                    <w:rPr>
                      <w:rFonts w:hint="default" w:ascii="Times New Roman" w:hAnsi="Times New Roman" w:eastAsia="宋体" w:cs="Times New Roman"/>
                      <w:bCs/>
                      <w:color w:val="auto"/>
                      <w:kern w:val="2"/>
                      <w:szCs w:val="21"/>
                      <w:highlight w:val="none"/>
                    </w:rPr>
                  </w:pPr>
                </w:p>
              </w:tc>
              <w:tc>
                <w:tcPr>
                  <w:tcW w:w="1588" w:type="dxa"/>
                  <w:gridSpan w:val="2"/>
                  <w:noWrap w:val="0"/>
                  <w:vAlign w:val="center"/>
                </w:tcPr>
                <w:p w14:paraId="693D28AF">
                  <w:pPr>
                    <w:pStyle w:val="62"/>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运输</w:t>
                  </w:r>
                </w:p>
              </w:tc>
              <w:tc>
                <w:tcPr>
                  <w:tcW w:w="5416" w:type="dxa"/>
                  <w:noWrap w:val="0"/>
                  <w:vAlign w:val="center"/>
                </w:tcPr>
                <w:p w14:paraId="37900B51">
                  <w:pPr>
                    <w:pStyle w:val="62"/>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厂外的原</w:t>
                  </w:r>
                  <w:r>
                    <w:rPr>
                      <w:rFonts w:hint="default" w:ascii="Times New Roman" w:hAnsi="Times New Roman" w:eastAsia="宋体" w:cs="Times New Roman"/>
                      <w:color w:val="auto"/>
                      <w:szCs w:val="21"/>
                      <w:highlight w:val="none"/>
                      <w:lang w:val="en-US" w:eastAsia="zh-CN"/>
                    </w:rPr>
                    <w:t>辅</w:t>
                  </w:r>
                  <w:r>
                    <w:rPr>
                      <w:rFonts w:hint="default" w:ascii="Times New Roman" w:hAnsi="Times New Roman" w:eastAsia="宋体" w:cs="Times New Roman"/>
                      <w:color w:val="auto"/>
                      <w:szCs w:val="21"/>
                      <w:highlight w:val="none"/>
                    </w:rPr>
                    <w:t>材料和成品主要由货车运输；厂内的原材料从储存区到生产区主要依靠人力进行运输。</w:t>
                  </w:r>
                </w:p>
              </w:tc>
            </w:tr>
            <w:tr w14:paraId="0DB70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8" w:type="dxa"/>
                  <w:noWrap w:val="0"/>
                  <w:vAlign w:val="center"/>
                </w:tcPr>
                <w:p w14:paraId="13E85118">
                  <w:pPr>
                    <w:pStyle w:val="80"/>
                    <w:keepNext w:val="0"/>
                    <w:keepLines w:val="0"/>
                    <w:suppressLineNumbers w:val="0"/>
                    <w:spacing w:before="0" w:beforeAutospacing="0" w:after="0" w:afterAutospacing="0"/>
                    <w:ind w:left="0" w:right="0"/>
                    <w:rPr>
                      <w:rFonts w:hint="default" w:ascii="Times New Roman" w:hAnsi="Times New Roman" w:eastAsia="宋体" w:cs="Times New Roman"/>
                      <w:bCs/>
                      <w:color w:val="auto"/>
                      <w:kern w:val="2"/>
                      <w:szCs w:val="21"/>
                      <w:highlight w:val="none"/>
                    </w:rPr>
                  </w:pPr>
                  <w:r>
                    <w:rPr>
                      <w:rFonts w:hint="default" w:ascii="Times New Roman" w:hAnsi="Times New Roman" w:eastAsia="宋体" w:cs="Times New Roman"/>
                      <w:bCs/>
                      <w:color w:val="auto"/>
                      <w:kern w:val="2"/>
                      <w:szCs w:val="21"/>
                      <w:highlight w:val="none"/>
                    </w:rPr>
                    <w:t>辅助工程</w:t>
                  </w:r>
                </w:p>
              </w:tc>
              <w:tc>
                <w:tcPr>
                  <w:tcW w:w="1588" w:type="dxa"/>
                  <w:gridSpan w:val="2"/>
                  <w:noWrap w:val="0"/>
                  <w:vAlign w:val="center"/>
                </w:tcPr>
                <w:p w14:paraId="470D2541">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kern w:val="2"/>
                      <w:szCs w:val="21"/>
                      <w:highlight w:val="none"/>
                      <w:lang w:eastAsia="zh-CN"/>
                    </w:rPr>
                  </w:pPr>
                  <w:r>
                    <w:rPr>
                      <w:rFonts w:hint="default" w:ascii="Times New Roman" w:hAnsi="Times New Roman" w:eastAsia="宋体" w:cs="Times New Roman"/>
                      <w:bCs/>
                      <w:color w:val="auto"/>
                      <w:kern w:val="2"/>
                      <w:szCs w:val="21"/>
                      <w:highlight w:val="none"/>
                    </w:rPr>
                    <w:t>办公</w:t>
                  </w:r>
                  <w:r>
                    <w:rPr>
                      <w:rFonts w:hint="default" w:ascii="Times New Roman" w:hAnsi="Times New Roman" w:eastAsia="宋体" w:cs="Times New Roman"/>
                      <w:bCs/>
                      <w:color w:val="auto"/>
                      <w:kern w:val="2"/>
                      <w:szCs w:val="21"/>
                      <w:highlight w:val="none"/>
                      <w:lang w:val="en-US" w:eastAsia="zh-CN"/>
                    </w:rPr>
                    <w:t>区</w:t>
                  </w:r>
                </w:p>
              </w:tc>
              <w:tc>
                <w:tcPr>
                  <w:tcW w:w="5416" w:type="dxa"/>
                  <w:noWrap w:val="0"/>
                  <w:vAlign w:val="center"/>
                </w:tcPr>
                <w:p w14:paraId="585AE476">
                  <w:pPr>
                    <w:pStyle w:val="80"/>
                    <w:keepNext w:val="0"/>
                    <w:keepLines w:val="0"/>
                    <w:suppressLineNumbers w:val="0"/>
                    <w:spacing w:before="0" w:beforeAutospacing="0" w:after="0" w:afterAutospacing="0"/>
                    <w:ind w:left="0" w:right="0"/>
                    <w:jc w:val="left"/>
                    <w:rPr>
                      <w:rFonts w:hint="default" w:ascii="Times New Roman" w:hAnsi="Times New Roman" w:eastAsia="宋体" w:cs="Times New Roman"/>
                      <w:bCs/>
                      <w:color w:val="auto"/>
                      <w:kern w:val="2"/>
                      <w:szCs w:val="21"/>
                      <w:highlight w:val="none"/>
                    </w:rPr>
                  </w:pPr>
                  <w:r>
                    <w:rPr>
                      <w:rFonts w:hint="default" w:ascii="Times New Roman" w:hAnsi="Times New Roman" w:eastAsia="宋体" w:cs="Times New Roman"/>
                      <w:bCs/>
                      <w:color w:val="auto"/>
                      <w:kern w:val="2"/>
                      <w:szCs w:val="21"/>
                      <w:highlight w:val="none"/>
                    </w:rPr>
                    <w:t>建筑面积</w:t>
                  </w:r>
                  <w:r>
                    <w:rPr>
                      <w:rFonts w:hint="default" w:ascii="Times New Roman" w:hAnsi="Times New Roman" w:eastAsia="宋体" w:cs="Times New Roman"/>
                      <w:bCs/>
                      <w:color w:val="auto"/>
                      <w:kern w:val="2"/>
                      <w:szCs w:val="21"/>
                      <w:highlight w:val="none"/>
                      <w:lang w:val="en-US" w:eastAsia="zh-CN"/>
                    </w:rPr>
                    <w:t>约</w:t>
                  </w:r>
                  <w:r>
                    <w:rPr>
                      <w:rFonts w:hint="eastAsia" w:ascii="Times New Roman" w:cs="Times New Roman"/>
                      <w:bCs/>
                      <w:color w:val="auto"/>
                      <w:kern w:val="2"/>
                      <w:szCs w:val="21"/>
                      <w:highlight w:val="none"/>
                      <w:lang w:val="en-US" w:eastAsia="zh-CN"/>
                    </w:rPr>
                    <w:t>5</w:t>
                  </w:r>
                  <w:r>
                    <w:rPr>
                      <w:rFonts w:hint="default" w:ascii="Times New Roman" w:hAnsi="Times New Roman" w:eastAsia="宋体" w:cs="Times New Roman"/>
                      <w:bCs/>
                      <w:color w:val="auto"/>
                      <w:kern w:val="2"/>
                      <w:szCs w:val="21"/>
                      <w:highlight w:val="none"/>
                      <w:lang w:val="en-US" w:eastAsia="zh-CN"/>
                    </w:rPr>
                    <w:t>0</w:t>
                  </w:r>
                  <w:r>
                    <w:rPr>
                      <w:rFonts w:hint="default" w:ascii="Times New Roman" w:hAnsi="Times New Roman" w:eastAsia="宋体" w:cs="Times New Roman"/>
                      <w:bCs/>
                      <w:color w:val="auto"/>
                      <w:kern w:val="2"/>
                      <w:szCs w:val="21"/>
                      <w:highlight w:val="none"/>
                    </w:rPr>
                    <w:t>m</w:t>
                  </w:r>
                  <w:r>
                    <w:rPr>
                      <w:rFonts w:hint="default" w:ascii="Times New Roman" w:hAnsi="Times New Roman" w:eastAsia="宋体" w:cs="Times New Roman"/>
                      <w:bCs/>
                      <w:color w:val="auto"/>
                      <w:kern w:val="2"/>
                      <w:szCs w:val="21"/>
                      <w:highlight w:val="none"/>
                      <w:vertAlign w:val="superscript"/>
                    </w:rPr>
                    <w:t>2</w:t>
                  </w:r>
                  <w:r>
                    <w:rPr>
                      <w:rFonts w:hint="default" w:ascii="Times New Roman" w:hAnsi="Times New Roman" w:eastAsia="宋体" w:cs="Times New Roman"/>
                      <w:bCs/>
                      <w:color w:val="auto"/>
                      <w:kern w:val="2"/>
                      <w:szCs w:val="21"/>
                      <w:highlight w:val="none"/>
                    </w:rPr>
                    <w:t>，位于</w:t>
                  </w:r>
                  <w:r>
                    <w:rPr>
                      <w:rFonts w:hint="default" w:ascii="Times New Roman" w:hAnsi="Times New Roman" w:eastAsia="宋体" w:cs="Times New Roman"/>
                      <w:bCs/>
                      <w:color w:val="auto"/>
                      <w:kern w:val="2"/>
                      <w:szCs w:val="21"/>
                      <w:highlight w:val="none"/>
                      <w:lang w:val="en-US" w:eastAsia="zh-CN"/>
                    </w:rPr>
                    <w:t>厂房</w:t>
                  </w:r>
                  <w:r>
                    <w:rPr>
                      <w:rFonts w:hint="eastAsia" w:ascii="Times New Roman" w:cs="Times New Roman"/>
                      <w:bCs/>
                      <w:color w:val="auto"/>
                      <w:kern w:val="2"/>
                      <w:szCs w:val="21"/>
                      <w:highlight w:val="none"/>
                      <w:lang w:val="en-US" w:eastAsia="zh-CN"/>
                    </w:rPr>
                    <w:t>2</w:t>
                  </w:r>
                  <w:r>
                    <w:rPr>
                      <w:rFonts w:hint="default" w:ascii="Times New Roman" w:hAnsi="Times New Roman" w:eastAsia="宋体" w:cs="Times New Roman"/>
                      <w:bCs/>
                      <w:color w:val="auto"/>
                      <w:kern w:val="2"/>
                      <w:szCs w:val="21"/>
                      <w:highlight w:val="none"/>
                      <w:lang w:val="en-US" w:eastAsia="zh-CN"/>
                    </w:rPr>
                    <w:t>层</w:t>
                  </w:r>
                  <w:r>
                    <w:rPr>
                      <w:rFonts w:hint="default" w:ascii="Times New Roman" w:hAnsi="Times New Roman" w:eastAsia="宋体" w:cs="Times New Roman"/>
                      <w:bCs/>
                      <w:color w:val="auto"/>
                      <w:kern w:val="2"/>
                      <w:szCs w:val="21"/>
                      <w:highlight w:val="none"/>
                    </w:rPr>
                    <w:t>，用于</w:t>
                  </w:r>
                  <w:r>
                    <w:rPr>
                      <w:rFonts w:hint="default" w:ascii="Times New Roman" w:hAnsi="Times New Roman" w:eastAsia="宋体" w:cs="Times New Roman"/>
                      <w:bCs/>
                      <w:color w:val="auto"/>
                      <w:kern w:val="2"/>
                      <w:szCs w:val="21"/>
                      <w:highlight w:val="none"/>
                      <w:lang w:val="en-US" w:eastAsia="zh-CN"/>
                    </w:rPr>
                    <w:t>员工</w:t>
                  </w:r>
                  <w:r>
                    <w:rPr>
                      <w:rFonts w:hint="default" w:ascii="Times New Roman" w:hAnsi="Times New Roman" w:eastAsia="宋体" w:cs="Times New Roman"/>
                      <w:bCs/>
                      <w:color w:val="auto"/>
                      <w:kern w:val="2"/>
                      <w:szCs w:val="21"/>
                      <w:highlight w:val="none"/>
                    </w:rPr>
                    <w:t>行政办公</w:t>
                  </w:r>
                </w:p>
              </w:tc>
            </w:tr>
            <w:tr w14:paraId="523D8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78" w:type="dxa"/>
                  <w:vMerge w:val="restart"/>
                  <w:noWrap w:val="0"/>
                  <w:vAlign w:val="center"/>
                </w:tcPr>
                <w:p w14:paraId="620CEE09">
                  <w:pPr>
                    <w:pStyle w:val="80"/>
                    <w:keepNext w:val="0"/>
                    <w:keepLines w:val="0"/>
                    <w:suppressLineNumbers w:val="0"/>
                    <w:spacing w:before="0" w:beforeAutospacing="0" w:after="0" w:afterAutospacing="0"/>
                    <w:ind w:left="0" w:right="0"/>
                    <w:rPr>
                      <w:rFonts w:hint="default" w:ascii="Times New Roman" w:hAnsi="Times New Roman" w:eastAsia="宋体" w:cs="Times New Roman"/>
                      <w:bCs/>
                      <w:color w:val="auto"/>
                      <w:kern w:val="2"/>
                      <w:szCs w:val="21"/>
                      <w:highlight w:val="none"/>
                    </w:rPr>
                  </w:pPr>
                  <w:r>
                    <w:rPr>
                      <w:rFonts w:hint="default" w:ascii="Times New Roman" w:hAnsi="Times New Roman" w:eastAsia="宋体" w:cs="Times New Roman"/>
                      <w:bCs/>
                      <w:color w:val="auto"/>
                      <w:kern w:val="2"/>
                      <w:szCs w:val="21"/>
                      <w:highlight w:val="none"/>
                    </w:rPr>
                    <w:t>公用工程</w:t>
                  </w:r>
                </w:p>
              </w:tc>
              <w:tc>
                <w:tcPr>
                  <w:tcW w:w="1588" w:type="dxa"/>
                  <w:gridSpan w:val="2"/>
                  <w:noWrap w:val="0"/>
                  <w:vAlign w:val="center"/>
                </w:tcPr>
                <w:p w14:paraId="59CCDCED">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kern w:val="2"/>
                      <w:szCs w:val="21"/>
                      <w:highlight w:val="none"/>
                    </w:rPr>
                  </w:pPr>
                  <w:r>
                    <w:rPr>
                      <w:rFonts w:hint="default" w:ascii="Times New Roman" w:hAnsi="Times New Roman" w:eastAsia="宋体" w:cs="Times New Roman"/>
                      <w:bCs/>
                      <w:color w:val="auto"/>
                      <w:kern w:val="2"/>
                      <w:szCs w:val="21"/>
                      <w:highlight w:val="none"/>
                    </w:rPr>
                    <w:t>给水系统</w:t>
                  </w:r>
                </w:p>
              </w:tc>
              <w:tc>
                <w:tcPr>
                  <w:tcW w:w="5416" w:type="dxa"/>
                  <w:noWrap w:val="0"/>
                  <w:vAlign w:val="center"/>
                </w:tcPr>
                <w:p w14:paraId="6D417140">
                  <w:pPr>
                    <w:pStyle w:val="80"/>
                    <w:keepNext w:val="0"/>
                    <w:keepLines w:val="0"/>
                    <w:suppressLineNumbers w:val="0"/>
                    <w:spacing w:before="0" w:beforeAutospacing="0" w:after="0" w:afterAutospacing="0"/>
                    <w:ind w:left="0" w:right="0"/>
                    <w:jc w:val="left"/>
                    <w:rPr>
                      <w:rFonts w:hint="default" w:ascii="Times New Roman" w:hAnsi="Times New Roman" w:eastAsia="宋体" w:cs="Times New Roman"/>
                      <w:bCs/>
                      <w:color w:val="auto"/>
                      <w:kern w:val="2"/>
                      <w:szCs w:val="21"/>
                      <w:highlight w:val="none"/>
                      <w:vertAlign w:val="superscript"/>
                    </w:rPr>
                  </w:pPr>
                  <w:r>
                    <w:rPr>
                      <w:rFonts w:hint="default" w:ascii="Times New Roman" w:hAnsi="Times New Roman" w:eastAsia="宋体" w:cs="Times New Roman"/>
                      <w:bCs/>
                      <w:color w:val="auto"/>
                      <w:kern w:val="2"/>
                      <w:szCs w:val="21"/>
                      <w:highlight w:val="none"/>
                    </w:rPr>
                    <w:t>工业园区供水管网提供自来水，年用水量约</w:t>
                  </w:r>
                  <w:r>
                    <w:rPr>
                      <w:rFonts w:hint="default" w:ascii="Times New Roman" w:hAnsi="Times New Roman" w:eastAsia="宋体" w:cs="Times New Roman"/>
                      <w:bCs/>
                      <w:color w:val="auto"/>
                      <w:kern w:val="2"/>
                      <w:szCs w:val="21"/>
                      <w:highlight w:val="none"/>
                      <w:lang w:val="en-US" w:eastAsia="zh-CN"/>
                    </w:rPr>
                    <w:t>572</w:t>
                  </w:r>
                  <w:r>
                    <w:rPr>
                      <w:rFonts w:hint="default" w:ascii="Times New Roman" w:hAnsi="Times New Roman" w:eastAsia="宋体" w:cs="Times New Roman"/>
                      <w:bCs/>
                      <w:color w:val="auto"/>
                      <w:kern w:val="2"/>
                      <w:szCs w:val="21"/>
                      <w:highlight w:val="none"/>
                    </w:rPr>
                    <w:t>m</w:t>
                  </w:r>
                  <w:r>
                    <w:rPr>
                      <w:rFonts w:hint="default" w:ascii="Times New Roman" w:hAnsi="Times New Roman" w:eastAsia="宋体" w:cs="Times New Roman"/>
                      <w:bCs/>
                      <w:color w:val="auto"/>
                      <w:kern w:val="2"/>
                      <w:szCs w:val="21"/>
                      <w:highlight w:val="none"/>
                      <w:vertAlign w:val="superscript"/>
                    </w:rPr>
                    <w:t>3</w:t>
                  </w:r>
                </w:p>
              </w:tc>
            </w:tr>
            <w:tr w14:paraId="3F76A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778" w:type="dxa"/>
                  <w:vMerge w:val="continue"/>
                  <w:noWrap w:val="0"/>
                  <w:vAlign w:val="center"/>
                </w:tcPr>
                <w:p w14:paraId="703E4A20">
                  <w:pPr>
                    <w:pStyle w:val="80"/>
                    <w:keepNext w:val="0"/>
                    <w:keepLines w:val="0"/>
                    <w:suppressLineNumbers w:val="0"/>
                    <w:spacing w:before="0" w:beforeAutospacing="0" w:after="0" w:afterAutospacing="0"/>
                    <w:ind w:left="0" w:right="0"/>
                    <w:rPr>
                      <w:rFonts w:hint="default" w:ascii="Times New Roman" w:hAnsi="Times New Roman" w:eastAsia="宋体" w:cs="Times New Roman"/>
                      <w:bCs/>
                      <w:color w:val="auto"/>
                      <w:kern w:val="2"/>
                      <w:szCs w:val="21"/>
                      <w:highlight w:val="none"/>
                    </w:rPr>
                  </w:pPr>
                </w:p>
              </w:tc>
              <w:tc>
                <w:tcPr>
                  <w:tcW w:w="1588" w:type="dxa"/>
                  <w:gridSpan w:val="2"/>
                  <w:noWrap w:val="0"/>
                  <w:vAlign w:val="center"/>
                </w:tcPr>
                <w:p w14:paraId="70D69DF4">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kern w:val="2"/>
                      <w:szCs w:val="21"/>
                      <w:highlight w:val="none"/>
                    </w:rPr>
                  </w:pPr>
                  <w:r>
                    <w:rPr>
                      <w:rFonts w:hint="default" w:ascii="Times New Roman" w:hAnsi="Times New Roman" w:eastAsia="宋体" w:cs="Times New Roman"/>
                      <w:bCs/>
                      <w:color w:val="auto"/>
                      <w:kern w:val="2"/>
                      <w:szCs w:val="21"/>
                      <w:highlight w:val="none"/>
                    </w:rPr>
                    <w:t>排水系统</w:t>
                  </w:r>
                </w:p>
              </w:tc>
              <w:tc>
                <w:tcPr>
                  <w:tcW w:w="5416" w:type="dxa"/>
                  <w:noWrap w:val="0"/>
                  <w:vAlign w:val="center"/>
                </w:tcPr>
                <w:p w14:paraId="325C2AB7">
                  <w:pPr>
                    <w:pStyle w:val="80"/>
                    <w:keepNext w:val="0"/>
                    <w:keepLines w:val="0"/>
                    <w:suppressLineNumbers w:val="0"/>
                    <w:spacing w:before="0" w:beforeAutospacing="0" w:after="0" w:afterAutospacing="0"/>
                    <w:ind w:left="0" w:right="0"/>
                    <w:jc w:val="left"/>
                    <w:rPr>
                      <w:rFonts w:hint="default" w:ascii="Times New Roman" w:hAnsi="Times New Roman" w:eastAsia="宋体" w:cs="Times New Roman"/>
                      <w:bCs/>
                      <w:color w:val="auto"/>
                      <w:kern w:val="2"/>
                      <w:szCs w:val="21"/>
                      <w:highlight w:val="none"/>
                      <w:lang w:val="en-US"/>
                    </w:rPr>
                  </w:pPr>
                  <w:r>
                    <w:rPr>
                      <w:rFonts w:hint="default" w:ascii="Times New Roman" w:hAnsi="Times New Roman" w:eastAsia="宋体" w:cs="Times New Roman"/>
                      <w:bCs/>
                      <w:color w:val="auto"/>
                      <w:kern w:val="2"/>
                      <w:szCs w:val="21"/>
                      <w:highlight w:val="none"/>
                    </w:rPr>
                    <w:t>雨水排入雨水管网；生活污水经三级化粪池处理达标后</w:t>
                  </w:r>
                  <w:r>
                    <w:rPr>
                      <w:rFonts w:hint="default" w:ascii="Times New Roman" w:hAnsi="Times New Roman" w:cs="Times New Roman"/>
                      <w:color w:val="auto"/>
                      <w:kern w:val="0"/>
                      <w:sz w:val="21"/>
                      <w:szCs w:val="21"/>
                      <w:highlight w:val="none"/>
                      <w:lang w:val="en-US" w:eastAsia="zh-CN"/>
                    </w:rPr>
                    <w:t>，</w:t>
                  </w:r>
                  <w:r>
                    <w:rPr>
                      <w:rFonts w:hint="default" w:ascii="Times New Roman" w:hAnsi="Times New Roman" w:eastAsia="宋体" w:cs="Times New Roman"/>
                      <w:color w:val="auto"/>
                      <w:kern w:val="0"/>
                      <w:sz w:val="21"/>
                      <w:szCs w:val="21"/>
                      <w:highlight w:val="none"/>
                      <w:lang w:val="en-US" w:eastAsia="zh-CN" w:bidi="ar"/>
                    </w:rPr>
                    <w:t>经取得排水许可证后</w:t>
                  </w:r>
                  <w:r>
                    <w:rPr>
                      <w:rFonts w:hint="default" w:ascii="Times New Roman" w:hAnsi="Times New Roman" w:cs="Times New Roman"/>
                      <w:color w:val="auto"/>
                      <w:kern w:val="0"/>
                      <w:sz w:val="21"/>
                      <w:szCs w:val="21"/>
                      <w:highlight w:val="none"/>
                      <w:lang w:val="en-US" w:eastAsia="zh-CN"/>
                    </w:rPr>
                    <w:t>通过市政污水管网进入广东阳东经济开发区污水处理厂处理</w:t>
                  </w:r>
                </w:p>
              </w:tc>
            </w:tr>
            <w:tr w14:paraId="5A78F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778" w:type="dxa"/>
                  <w:vMerge w:val="continue"/>
                  <w:noWrap w:val="0"/>
                  <w:vAlign w:val="center"/>
                </w:tcPr>
                <w:p w14:paraId="5111E03E">
                  <w:pPr>
                    <w:pStyle w:val="80"/>
                    <w:keepNext w:val="0"/>
                    <w:keepLines w:val="0"/>
                    <w:suppressLineNumbers w:val="0"/>
                    <w:spacing w:before="0" w:beforeAutospacing="0" w:after="0" w:afterAutospacing="0"/>
                    <w:ind w:left="0" w:right="0"/>
                    <w:rPr>
                      <w:rFonts w:hint="default" w:ascii="Times New Roman" w:hAnsi="Times New Roman" w:eastAsia="宋体" w:cs="Times New Roman"/>
                      <w:bCs/>
                      <w:color w:val="auto"/>
                      <w:kern w:val="2"/>
                      <w:szCs w:val="21"/>
                      <w:highlight w:val="none"/>
                    </w:rPr>
                  </w:pPr>
                </w:p>
              </w:tc>
              <w:tc>
                <w:tcPr>
                  <w:tcW w:w="1588" w:type="dxa"/>
                  <w:gridSpan w:val="2"/>
                  <w:noWrap w:val="0"/>
                  <w:vAlign w:val="center"/>
                </w:tcPr>
                <w:p w14:paraId="230B6105">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kern w:val="2"/>
                      <w:szCs w:val="21"/>
                      <w:highlight w:val="none"/>
                    </w:rPr>
                  </w:pPr>
                  <w:r>
                    <w:rPr>
                      <w:rFonts w:hint="default" w:ascii="Times New Roman" w:hAnsi="Times New Roman" w:eastAsia="宋体" w:cs="Times New Roman"/>
                      <w:bCs/>
                      <w:color w:val="auto"/>
                      <w:kern w:val="2"/>
                      <w:szCs w:val="21"/>
                      <w:highlight w:val="none"/>
                    </w:rPr>
                    <w:t>供电系统</w:t>
                  </w:r>
                </w:p>
              </w:tc>
              <w:tc>
                <w:tcPr>
                  <w:tcW w:w="5416" w:type="dxa"/>
                  <w:noWrap w:val="0"/>
                  <w:vAlign w:val="center"/>
                </w:tcPr>
                <w:p w14:paraId="2D740EEE">
                  <w:pPr>
                    <w:pStyle w:val="80"/>
                    <w:keepNext w:val="0"/>
                    <w:keepLines w:val="0"/>
                    <w:suppressLineNumbers w:val="0"/>
                    <w:spacing w:before="0" w:beforeAutospacing="0" w:after="0" w:afterAutospacing="0"/>
                    <w:ind w:left="0" w:right="0"/>
                    <w:jc w:val="left"/>
                    <w:rPr>
                      <w:rFonts w:hint="default" w:ascii="Times New Roman" w:hAnsi="Times New Roman" w:eastAsia="宋体" w:cs="Times New Roman"/>
                      <w:bCs/>
                      <w:color w:val="auto"/>
                      <w:kern w:val="2"/>
                      <w:szCs w:val="21"/>
                      <w:highlight w:val="none"/>
                    </w:rPr>
                  </w:pPr>
                  <w:r>
                    <w:rPr>
                      <w:rFonts w:hint="default" w:ascii="Times New Roman" w:hAnsi="Times New Roman" w:eastAsia="宋体" w:cs="Times New Roman"/>
                      <w:bCs/>
                      <w:color w:val="auto"/>
                      <w:kern w:val="2"/>
                      <w:szCs w:val="21"/>
                      <w:highlight w:val="none"/>
                    </w:rPr>
                    <w:t>工业园区电网供电，年用电量</w:t>
                  </w:r>
                  <w:r>
                    <w:rPr>
                      <w:rFonts w:hint="eastAsia" w:ascii="Times New Roman" w:cs="Times New Roman"/>
                      <w:bCs/>
                      <w:color w:val="auto"/>
                      <w:kern w:val="2"/>
                      <w:szCs w:val="21"/>
                      <w:highlight w:val="none"/>
                      <w:lang w:val="en-US" w:eastAsia="zh-CN"/>
                    </w:rPr>
                    <w:t>2</w:t>
                  </w:r>
                  <w:r>
                    <w:rPr>
                      <w:rFonts w:hint="default" w:ascii="Times New Roman" w:hAnsi="Times New Roman" w:eastAsia="宋体" w:cs="Times New Roman"/>
                      <w:bCs/>
                      <w:color w:val="auto"/>
                      <w:kern w:val="2"/>
                      <w:szCs w:val="21"/>
                      <w:highlight w:val="none"/>
                      <w:lang w:val="en-US" w:eastAsia="zh-CN"/>
                    </w:rPr>
                    <w:t>0</w:t>
                  </w:r>
                  <w:r>
                    <w:rPr>
                      <w:rFonts w:hint="default" w:ascii="Times New Roman" w:hAnsi="Times New Roman" w:eastAsia="宋体" w:cs="Times New Roman"/>
                      <w:bCs/>
                      <w:color w:val="auto"/>
                      <w:kern w:val="2"/>
                      <w:szCs w:val="21"/>
                      <w:highlight w:val="none"/>
                    </w:rPr>
                    <w:t>万度</w:t>
                  </w:r>
                </w:p>
              </w:tc>
            </w:tr>
            <w:tr w14:paraId="29E21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778" w:type="dxa"/>
                  <w:vMerge w:val="restart"/>
                  <w:noWrap w:val="0"/>
                  <w:vAlign w:val="center"/>
                </w:tcPr>
                <w:p w14:paraId="315C1776">
                  <w:pPr>
                    <w:pStyle w:val="80"/>
                    <w:keepNext w:val="0"/>
                    <w:keepLines w:val="0"/>
                    <w:suppressLineNumbers w:val="0"/>
                    <w:spacing w:before="0" w:beforeAutospacing="0" w:after="0" w:afterAutospacing="0"/>
                    <w:ind w:left="0" w:right="0"/>
                    <w:rPr>
                      <w:rFonts w:hint="default" w:ascii="Times New Roman" w:hAnsi="Times New Roman" w:eastAsia="宋体" w:cs="Times New Roman"/>
                      <w:bCs/>
                      <w:color w:val="auto"/>
                      <w:kern w:val="2"/>
                      <w:szCs w:val="21"/>
                      <w:highlight w:val="none"/>
                      <w:lang w:val="en-US" w:eastAsia="zh-CN"/>
                    </w:rPr>
                  </w:pPr>
                  <w:r>
                    <w:rPr>
                      <w:rFonts w:hint="default" w:ascii="Times New Roman" w:hAnsi="Times New Roman" w:eastAsia="宋体" w:cs="Times New Roman"/>
                      <w:bCs/>
                      <w:color w:val="auto"/>
                      <w:kern w:val="2"/>
                      <w:szCs w:val="21"/>
                      <w:highlight w:val="none"/>
                      <w:lang w:val="en-US" w:eastAsia="zh-CN"/>
                    </w:rPr>
                    <w:t>环保工程</w:t>
                  </w:r>
                </w:p>
              </w:tc>
              <w:tc>
                <w:tcPr>
                  <w:tcW w:w="429" w:type="dxa"/>
                  <w:vMerge w:val="restart"/>
                  <w:noWrap w:val="0"/>
                  <w:vAlign w:val="center"/>
                </w:tcPr>
                <w:p w14:paraId="301659F4">
                  <w:pPr>
                    <w:pStyle w:val="80"/>
                    <w:keepNext w:val="0"/>
                    <w:keepLines w:val="0"/>
                    <w:suppressLineNumbers w:val="0"/>
                    <w:spacing w:before="0" w:beforeAutospacing="0" w:after="0" w:afterAutospacing="0"/>
                    <w:ind w:left="0" w:right="0"/>
                    <w:jc w:val="left"/>
                    <w:rPr>
                      <w:rFonts w:hint="default" w:ascii="Times New Roman" w:hAnsi="Times New Roman" w:eastAsia="宋体" w:cs="Times New Roman"/>
                      <w:bCs/>
                      <w:color w:val="auto"/>
                      <w:kern w:val="2"/>
                      <w:szCs w:val="21"/>
                      <w:highlight w:val="none"/>
                      <w:lang w:val="en-US" w:eastAsia="zh-CN"/>
                    </w:rPr>
                  </w:pPr>
                  <w:r>
                    <w:rPr>
                      <w:rFonts w:hint="default" w:ascii="Times New Roman" w:hAnsi="Times New Roman" w:eastAsia="宋体" w:cs="Times New Roman"/>
                      <w:bCs/>
                      <w:color w:val="auto"/>
                      <w:kern w:val="2"/>
                      <w:szCs w:val="21"/>
                      <w:highlight w:val="none"/>
                      <w:lang w:val="en-US" w:eastAsia="zh-CN"/>
                    </w:rPr>
                    <w:t>废气</w:t>
                  </w:r>
                </w:p>
              </w:tc>
              <w:tc>
                <w:tcPr>
                  <w:tcW w:w="1159" w:type="dxa"/>
                  <w:noWrap w:val="0"/>
                  <w:vAlign w:val="center"/>
                </w:tcPr>
                <w:p w14:paraId="15F1A558">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kern w:val="2"/>
                      <w:szCs w:val="21"/>
                      <w:highlight w:val="none"/>
                      <w:lang w:val="en-US" w:eastAsia="zh-CN"/>
                    </w:rPr>
                  </w:pPr>
                  <w:r>
                    <w:rPr>
                      <w:rFonts w:hint="default" w:ascii="Times New Roman" w:hAnsi="Times New Roman" w:eastAsia="宋体" w:cs="Times New Roman"/>
                      <w:bCs/>
                      <w:color w:val="auto"/>
                      <w:kern w:val="2"/>
                      <w:szCs w:val="21"/>
                      <w:highlight w:val="none"/>
                      <w:lang w:val="en-US" w:eastAsia="zh-CN"/>
                    </w:rPr>
                    <w:t>纸卡彩盒生产线有机废气</w:t>
                  </w:r>
                </w:p>
              </w:tc>
              <w:tc>
                <w:tcPr>
                  <w:tcW w:w="5416" w:type="dxa"/>
                  <w:noWrap w:val="0"/>
                  <w:vAlign w:val="center"/>
                </w:tcPr>
                <w:p w14:paraId="276CEF51">
                  <w:pPr>
                    <w:pStyle w:val="80"/>
                    <w:keepNext w:val="0"/>
                    <w:keepLines w:val="0"/>
                    <w:suppressLineNumbers w:val="0"/>
                    <w:spacing w:before="0" w:beforeAutospacing="0" w:after="0" w:afterAutospacing="0"/>
                    <w:ind w:left="0" w:right="0"/>
                    <w:jc w:val="both"/>
                    <w:rPr>
                      <w:rFonts w:hint="eastAsia" w:ascii="Times New Roman" w:hAnsi="Times New Roman" w:eastAsia="宋体" w:cs="Times New Roman"/>
                      <w:bCs/>
                      <w:color w:val="auto"/>
                      <w:kern w:val="2"/>
                      <w:szCs w:val="21"/>
                      <w:highlight w:val="none"/>
                      <w:lang w:eastAsia="zh-CN"/>
                    </w:rPr>
                  </w:pPr>
                  <w:r>
                    <w:rPr>
                      <w:rFonts w:hint="eastAsia" w:ascii="Times New Roman" w:cs="Times New Roman"/>
                      <w:bCs/>
                      <w:color w:val="auto"/>
                      <w:kern w:val="2"/>
                      <w:szCs w:val="21"/>
                      <w:highlight w:val="none"/>
                      <w:lang w:val="en-US" w:eastAsia="zh-CN"/>
                    </w:rPr>
                    <w:t>集气罩</w:t>
                  </w:r>
                  <w:r>
                    <w:rPr>
                      <w:rFonts w:hint="default" w:ascii="Times New Roman" w:hAnsi="Times New Roman" w:eastAsia="宋体" w:cs="Times New Roman"/>
                      <w:bCs/>
                      <w:color w:val="auto"/>
                      <w:kern w:val="2"/>
                      <w:szCs w:val="21"/>
                      <w:highlight w:val="none"/>
                    </w:rPr>
                    <w:t>收集后经“</w:t>
                  </w:r>
                  <w:r>
                    <w:rPr>
                      <w:rFonts w:hint="default" w:ascii="Times New Roman" w:hAnsi="Times New Roman" w:eastAsia="宋体" w:cs="Times New Roman"/>
                      <w:bCs/>
                      <w:color w:val="auto"/>
                      <w:kern w:val="2"/>
                      <w:szCs w:val="21"/>
                      <w:highlight w:val="none"/>
                      <w:lang w:eastAsia="zh-CN"/>
                    </w:rPr>
                    <w:t>两级活性炭</w:t>
                  </w:r>
                  <w:r>
                    <w:rPr>
                      <w:rFonts w:hint="default" w:ascii="Times New Roman" w:hAnsi="Times New Roman" w:eastAsia="宋体" w:cs="Times New Roman"/>
                      <w:bCs/>
                      <w:color w:val="auto"/>
                      <w:kern w:val="2"/>
                      <w:szCs w:val="21"/>
                      <w:highlight w:val="none"/>
                    </w:rPr>
                    <w:t>吸附装置”处理后经</w:t>
                  </w:r>
                  <w:r>
                    <w:rPr>
                      <w:rFonts w:hint="eastAsia" w:ascii="Times New Roman" w:cs="Times New Roman"/>
                      <w:bCs/>
                      <w:color w:val="auto"/>
                      <w:kern w:val="2"/>
                      <w:szCs w:val="21"/>
                      <w:highlight w:val="none"/>
                      <w:lang w:val="en-US" w:eastAsia="zh-CN"/>
                    </w:rPr>
                    <w:t>15m</w:t>
                  </w:r>
                  <w:r>
                    <w:rPr>
                      <w:rFonts w:hint="default" w:ascii="Times New Roman" w:hAnsi="Times New Roman" w:eastAsia="宋体" w:cs="Times New Roman"/>
                      <w:bCs/>
                      <w:color w:val="auto"/>
                      <w:kern w:val="2"/>
                      <w:szCs w:val="21"/>
                      <w:highlight w:val="none"/>
                    </w:rPr>
                    <w:t>排气筒</w:t>
                  </w:r>
                  <w:r>
                    <w:rPr>
                      <w:rFonts w:hint="default" w:ascii="Times New Roman" w:hAnsi="Times New Roman" w:eastAsia="宋体" w:cs="Times New Roman"/>
                      <w:bCs/>
                      <w:color w:val="auto"/>
                      <w:kern w:val="2"/>
                      <w:szCs w:val="21"/>
                      <w:highlight w:val="none"/>
                      <w:lang w:val="en-US" w:eastAsia="zh-CN"/>
                    </w:rPr>
                    <w:t>DA001</w:t>
                  </w:r>
                  <w:r>
                    <w:rPr>
                      <w:rFonts w:hint="default" w:ascii="Times New Roman" w:hAnsi="Times New Roman" w:eastAsia="宋体" w:cs="Times New Roman"/>
                      <w:bCs/>
                      <w:color w:val="auto"/>
                      <w:kern w:val="2"/>
                      <w:szCs w:val="21"/>
                      <w:highlight w:val="none"/>
                    </w:rPr>
                    <w:t>排放</w:t>
                  </w:r>
                  <w:r>
                    <w:rPr>
                      <w:rFonts w:hint="eastAsia" w:ascii="Times New Roman" w:cs="Times New Roman"/>
                      <w:bCs/>
                      <w:color w:val="auto"/>
                      <w:kern w:val="2"/>
                      <w:szCs w:val="21"/>
                      <w:highlight w:val="none"/>
                      <w:lang w:eastAsia="zh-CN"/>
                    </w:rPr>
                    <w:t>。</w:t>
                  </w:r>
                </w:p>
              </w:tc>
            </w:tr>
            <w:tr w14:paraId="53646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778" w:type="dxa"/>
                  <w:vMerge w:val="continue"/>
                  <w:noWrap w:val="0"/>
                  <w:vAlign w:val="center"/>
                </w:tcPr>
                <w:p w14:paraId="56C23CAC">
                  <w:pPr>
                    <w:pStyle w:val="80"/>
                    <w:keepNext w:val="0"/>
                    <w:keepLines w:val="0"/>
                    <w:suppressLineNumbers w:val="0"/>
                    <w:spacing w:before="0" w:beforeAutospacing="0" w:after="0" w:afterAutospacing="0"/>
                    <w:ind w:left="0" w:right="0"/>
                    <w:rPr>
                      <w:rFonts w:hint="default" w:ascii="Times New Roman" w:hAnsi="Times New Roman" w:eastAsia="宋体" w:cs="Times New Roman"/>
                      <w:bCs/>
                      <w:color w:val="auto"/>
                      <w:kern w:val="2"/>
                      <w:szCs w:val="21"/>
                      <w:highlight w:val="none"/>
                    </w:rPr>
                  </w:pPr>
                </w:p>
              </w:tc>
              <w:tc>
                <w:tcPr>
                  <w:tcW w:w="429" w:type="dxa"/>
                  <w:noWrap w:val="0"/>
                  <w:vAlign w:val="center"/>
                </w:tcPr>
                <w:p w14:paraId="050025E6">
                  <w:pPr>
                    <w:pStyle w:val="80"/>
                    <w:keepNext w:val="0"/>
                    <w:keepLines w:val="0"/>
                    <w:suppressLineNumbers w:val="0"/>
                    <w:spacing w:before="0" w:beforeAutospacing="0" w:after="0" w:afterAutospacing="0"/>
                    <w:ind w:left="0" w:right="0"/>
                    <w:jc w:val="left"/>
                    <w:rPr>
                      <w:rFonts w:hint="default" w:ascii="Times New Roman" w:hAnsi="Times New Roman" w:eastAsia="宋体" w:cs="Times New Roman"/>
                      <w:bCs/>
                      <w:color w:val="auto"/>
                      <w:kern w:val="2"/>
                      <w:szCs w:val="21"/>
                      <w:highlight w:val="none"/>
                    </w:rPr>
                  </w:pPr>
                  <w:r>
                    <w:rPr>
                      <w:rFonts w:hint="default" w:ascii="Times New Roman" w:hAnsi="Times New Roman" w:eastAsia="宋体" w:cs="Times New Roman"/>
                      <w:bCs/>
                      <w:color w:val="auto"/>
                      <w:kern w:val="2"/>
                      <w:szCs w:val="21"/>
                      <w:highlight w:val="none"/>
                    </w:rPr>
                    <w:t>废水</w:t>
                  </w:r>
                </w:p>
              </w:tc>
              <w:tc>
                <w:tcPr>
                  <w:tcW w:w="1159" w:type="dxa"/>
                  <w:noWrap w:val="0"/>
                  <w:vAlign w:val="center"/>
                </w:tcPr>
                <w:p w14:paraId="096BB1B7">
                  <w:pPr>
                    <w:pStyle w:val="80"/>
                    <w:keepNext w:val="0"/>
                    <w:keepLines w:val="0"/>
                    <w:suppressLineNumbers w:val="0"/>
                    <w:spacing w:before="0" w:beforeAutospacing="0" w:after="0" w:afterAutospacing="0"/>
                    <w:ind w:left="0" w:right="0"/>
                    <w:jc w:val="left"/>
                    <w:rPr>
                      <w:rFonts w:hint="default" w:ascii="Times New Roman" w:hAnsi="Times New Roman" w:eastAsia="宋体" w:cs="Times New Roman"/>
                      <w:bCs/>
                      <w:color w:val="auto"/>
                      <w:kern w:val="2"/>
                      <w:szCs w:val="21"/>
                      <w:highlight w:val="none"/>
                    </w:rPr>
                  </w:pPr>
                  <w:r>
                    <w:rPr>
                      <w:rFonts w:hint="default" w:ascii="Times New Roman" w:hAnsi="Times New Roman" w:eastAsia="宋体" w:cs="Times New Roman"/>
                      <w:bCs/>
                      <w:color w:val="auto"/>
                      <w:kern w:val="2"/>
                      <w:szCs w:val="21"/>
                      <w:highlight w:val="none"/>
                    </w:rPr>
                    <w:t>生活污水</w:t>
                  </w:r>
                </w:p>
              </w:tc>
              <w:tc>
                <w:tcPr>
                  <w:tcW w:w="5416" w:type="dxa"/>
                  <w:noWrap w:val="0"/>
                  <w:vAlign w:val="center"/>
                </w:tcPr>
                <w:p w14:paraId="4DC10FB3">
                  <w:pPr>
                    <w:pStyle w:val="80"/>
                    <w:keepNext w:val="0"/>
                    <w:keepLines w:val="0"/>
                    <w:suppressLineNumbers w:val="0"/>
                    <w:spacing w:before="0" w:beforeAutospacing="0" w:after="0" w:afterAutospacing="0"/>
                    <w:ind w:left="0" w:right="0"/>
                    <w:jc w:val="left"/>
                    <w:rPr>
                      <w:rFonts w:hint="default" w:ascii="Times New Roman" w:hAnsi="Times New Roman" w:eastAsia="宋体" w:cs="Times New Roman"/>
                      <w:bCs/>
                      <w:color w:val="auto"/>
                      <w:kern w:val="2"/>
                      <w:szCs w:val="21"/>
                      <w:highlight w:val="none"/>
                    </w:rPr>
                  </w:pPr>
                  <w:r>
                    <w:rPr>
                      <w:rFonts w:hint="default" w:ascii="Times New Roman" w:hAnsi="Times New Roman" w:eastAsia="宋体" w:cs="Times New Roman"/>
                      <w:color w:val="auto"/>
                      <w:szCs w:val="21"/>
                      <w:highlight w:val="none"/>
                    </w:rPr>
                    <w:t>生活污水经三级化粪池处理</w:t>
                  </w:r>
                  <w:r>
                    <w:rPr>
                      <w:rFonts w:hint="default" w:ascii="Times New Roman" w:hAnsi="Times New Roman" w:eastAsia="宋体" w:cs="Times New Roman"/>
                      <w:bCs/>
                      <w:color w:val="auto"/>
                      <w:kern w:val="2"/>
                      <w:szCs w:val="21"/>
                      <w:highlight w:val="none"/>
                    </w:rPr>
                    <w:t>达标后</w:t>
                  </w:r>
                  <w:r>
                    <w:rPr>
                      <w:rFonts w:hint="default" w:ascii="Times New Roman" w:hAnsi="Times New Roman" w:eastAsia="宋体" w:cs="Times New Roman"/>
                      <w:color w:val="auto"/>
                      <w:szCs w:val="21"/>
                      <w:highlight w:val="none"/>
                    </w:rPr>
                    <w:t>，</w:t>
                  </w:r>
                  <w:r>
                    <w:rPr>
                      <w:rFonts w:hint="default" w:ascii="Times New Roman" w:hAnsi="Times New Roman" w:eastAsia="宋体" w:cs="Times New Roman"/>
                      <w:bCs/>
                      <w:color w:val="auto"/>
                      <w:kern w:val="2"/>
                      <w:szCs w:val="21"/>
                      <w:highlight w:val="none"/>
                    </w:rPr>
                    <w:t>通过市政污水管网进入广东阳东经济开发区污水处理厂处理</w:t>
                  </w:r>
                </w:p>
              </w:tc>
            </w:tr>
            <w:tr w14:paraId="1DC41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778" w:type="dxa"/>
                  <w:vMerge w:val="continue"/>
                  <w:noWrap w:val="0"/>
                  <w:vAlign w:val="center"/>
                </w:tcPr>
                <w:p w14:paraId="56F76E36">
                  <w:pPr>
                    <w:pStyle w:val="80"/>
                    <w:keepNext w:val="0"/>
                    <w:keepLines w:val="0"/>
                    <w:suppressLineNumbers w:val="0"/>
                    <w:spacing w:before="0" w:beforeAutospacing="0" w:after="0" w:afterAutospacing="0"/>
                    <w:ind w:left="0" w:right="0"/>
                    <w:rPr>
                      <w:rFonts w:hint="default" w:ascii="Times New Roman" w:hAnsi="Times New Roman" w:eastAsia="宋体" w:cs="Times New Roman"/>
                      <w:bCs/>
                      <w:color w:val="auto"/>
                      <w:kern w:val="2"/>
                      <w:szCs w:val="21"/>
                      <w:highlight w:val="none"/>
                    </w:rPr>
                  </w:pPr>
                </w:p>
              </w:tc>
              <w:tc>
                <w:tcPr>
                  <w:tcW w:w="1588" w:type="dxa"/>
                  <w:gridSpan w:val="2"/>
                  <w:noWrap w:val="0"/>
                  <w:vAlign w:val="center"/>
                </w:tcPr>
                <w:p w14:paraId="7AF84ACF">
                  <w:pPr>
                    <w:pStyle w:val="80"/>
                    <w:keepNext w:val="0"/>
                    <w:keepLines w:val="0"/>
                    <w:suppressLineNumbers w:val="0"/>
                    <w:spacing w:before="0" w:beforeAutospacing="0" w:after="0" w:afterAutospacing="0"/>
                    <w:ind w:left="0" w:right="0"/>
                    <w:jc w:val="left"/>
                    <w:rPr>
                      <w:rFonts w:hint="default" w:ascii="Times New Roman" w:hAnsi="Times New Roman" w:eastAsia="宋体" w:cs="Times New Roman"/>
                      <w:bCs/>
                      <w:color w:val="auto"/>
                      <w:kern w:val="2"/>
                      <w:szCs w:val="21"/>
                      <w:highlight w:val="none"/>
                    </w:rPr>
                  </w:pPr>
                  <w:r>
                    <w:rPr>
                      <w:rFonts w:hint="default" w:ascii="Times New Roman" w:hAnsi="Times New Roman" w:eastAsia="宋体" w:cs="Times New Roman"/>
                      <w:bCs/>
                      <w:color w:val="auto"/>
                      <w:kern w:val="2"/>
                      <w:szCs w:val="21"/>
                      <w:highlight w:val="none"/>
                    </w:rPr>
                    <w:t>噪声</w:t>
                  </w:r>
                </w:p>
              </w:tc>
              <w:tc>
                <w:tcPr>
                  <w:tcW w:w="5416" w:type="dxa"/>
                  <w:noWrap w:val="0"/>
                  <w:vAlign w:val="center"/>
                </w:tcPr>
                <w:p w14:paraId="25767FA8">
                  <w:pPr>
                    <w:pStyle w:val="80"/>
                    <w:keepNext w:val="0"/>
                    <w:keepLines w:val="0"/>
                    <w:suppressLineNumbers w:val="0"/>
                    <w:spacing w:before="0" w:beforeAutospacing="0" w:after="0" w:afterAutospacing="0"/>
                    <w:ind w:left="0" w:right="0"/>
                    <w:jc w:val="left"/>
                    <w:rPr>
                      <w:rFonts w:hint="default" w:ascii="Times New Roman" w:hAnsi="Times New Roman" w:eastAsia="宋体" w:cs="Times New Roman"/>
                      <w:bCs/>
                      <w:color w:val="auto"/>
                      <w:kern w:val="2"/>
                      <w:szCs w:val="21"/>
                      <w:highlight w:val="none"/>
                    </w:rPr>
                  </w:pPr>
                  <w:r>
                    <w:rPr>
                      <w:rFonts w:hint="default" w:ascii="Times New Roman" w:hAnsi="Times New Roman" w:eastAsia="宋体" w:cs="Times New Roman"/>
                      <w:bCs/>
                      <w:color w:val="auto"/>
                      <w:kern w:val="2"/>
                      <w:szCs w:val="21"/>
                      <w:highlight w:val="none"/>
                    </w:rPr>
                    <w:t>减振、隔声、设备定期维护</w:t>
                  </w:r>
                </w:p>
              </w:tc>
            </w:tr>
            <w:tr w14:paraId="7BD96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778" w:type="dxa"/>
                  <w:vMerge w:val="continue"/>
                  <w:noWrap w:val="0"/>
                  <w:vAlign w:val="center"/>
                </w:tcPr>
                <w:p w14:paraId="0AA47D12">
                  <w:pPr>
                    <w:pStyle w:val="80"/>
                    <w:keepNext w:val="0"/>
                    <w:keepLines w:val="0"/>
                    <w:suppressLineNumbers w:val="0"/>
                    <w:spacing w:before="0" w:beforeAutospacing="0" w:after="0" w:afterAutospacing="0"/>
                    <w:ind w:left="0" w:right="0"/>
                    <w:rPr>
                      <w:rFonts w:hint="default" w:ascii="Times New Roman" w:hAnsi="Times New Roman" w:eastAsia="宋体" w:cs="Times New Roman"/>
                      <w:bCs/>
                      <w:color w:val="auto"/>
                      <w:kern w:val="2"/>
                      <w:szCs w:val="21"/>
                      <w:highlight w:val="none"/>
                    </w:rPr>
                  </w:pPr>
                </w:p>
              </w:tc>
              <w:tc>
                <w:tcPr>
                  <w:tcW w:w="429" w:type="dxa"/>
                  <w:vMerge w:val="restart"/>
                  <w:noWrap w:val="0"/>
                  <w:vAlign w:val="center"/>
                </w:tcPr>
                <w:p w14:paraId="1B5330DE">
                  <w:pPr>
                    <w:pStyle w:val="80"/>
                    <w:keepNext w:val="0"/>
                    <w:keepLines w:val="0"/>
                    <w:suppressLineNumbers w:val="0"/>
                    <w:spacing w:before="0" w:beforeAutospacing="0" w:after="0" w:afterAutospacing="0"/>
                    <w:ind w:left="0" w:right="0"/>
                    <w:jc w:val="left"/>
                    <w:rPr>
                      <w:rFonts w:hint="default" w:ascii="Times New Roman" w:hAnsi="Times New Roman" w:eastAsia="宋体" w:cs="Times New Roman"/>
                      <w:bCs/>
                      <w:color w:val="auto"/>
                      <w:kern w:val="2"/>
                      <w:szCs w:val="21"/>
                      <w:highlight w:val="none"/>
                    </w:rPr>
                  </w:pPr>
                  <w:r>
                    <w:rPr>
                      <w:rFonts w:hint="default" w:ascii="Times New Roman" w:hAnsi="Times New Roman" w:eastAsia="宋体" w:cs="Times New Roman"/>
                      <w:bCs/>
                      <w:color w:val="auto"/>
                      <w:kern w:val="2"/>
                      <w:szCs w:val="21"/>
                      <w:highlight w:val="none"/>
                    </w:rPr>
                    <w:t>固体</w:t>
                  </w:r>
                </w:p>
                <w:p w14:paraId="2DD21CEA">
                  <w:pPr>
                    <w:pStyle w:val="80"/>
                    <w:keepNext w:val="0"/>
                    <w:keepLines w:val="0"/>
                    <w:suppressLineNumbers w:val="0"/>
                    <w:spacing w:before="0" w:beforeAutospacing="0" w:after="0" w:afterAutospacing="0"/>
                    <w:ind w:left="0" w:right="0"/>
                    <w:jc w:val="left"/>
                    <w:rPr>
                      <w:rFonts w:hint="default" w:ascii="Times New Roman" w:hAnsi="Times New Roman" w:eastAsia="宋体" w:cs="Times New Roman"/>
                      <w:bCs/>
                      <w:color w:val="auto"/>
                      <w:kern w:val="2"/>
                      <w:szCs w:val="21"/>
                      <w:highlight w:val="none"/>
                    </w:rPr>
                  </w:pPr>
                  <w:r>
                    <w:rPr>
                      <w:rFonts w:hint="default" w:ascii="Times New Roman" w:hAnsi="Times New Roman" w:eastAsia="宋体" w:cs="Times New Roman"/>
                      <w:bCs/>
                      <w:color w:val="auto"/>
                      <w:kern w:val="2"/>
                      <w:szCs w:val="21"/>
                      <w:highlight w:val="none"/>
                    </w:rPr>
                    <w:t>废物</w:t>
                  </w:r>
                </w:p>
              </w:tc>
              <w:tc>
                <w:tcPr>
                  <w:tcW w:w="1159" w:type="dxa"/>
                  <w:noWrap w:val="0"/>
                  <w:vAlign w:val="center"/>
                </w:tcPr>
                <w:p w14:paraId="691D731A">
                  <w:pPr>
                    <w:pStyle w:val="80"/>
                    <w:keepNext w:val="0"/>
                    <w:keepLines w:val="0"/>
                    <w:suppressLineNumbers w:val="0"/>
                    <w:spacing w:before="0" w:beforeAutospacing="0" w:after="0" w:afterAutospacing="0"/>
                    <w:ind w:left="0" w:right="0"/>
                    <w:jc w:val="left"/>
                    <w:rPr>
                      <w:rFonts w:hint="default" w:ascii="Times New Roman" w:hAnsi="Times New Roman" w:eastAsia="宋体" w:cs="Times New Roman"/>
                      <w:bCs/>
                      <w:color w:val="auto"/>
                      <w:kern w:val="2"/>
                      <w:szCs w:val="21"/>
                      <w:highlight w:val="none"/>
                    </w:rPr>
                  </w:pPr>
                  <w:r>
                    <w:rPr>
                      <w:rFonts w:hint="default" w:ascii="Times New Roman" w:hAnsi="Times New Roman" w:eastAsia="宋体" w:cs="Times New Roman"/>
                      <w:bCs/>
                      <w:color w:val="auto"/>
                      <w:kern w:val="2"/>
                      <w:szCs w:val="21"/>
                      <w:highlight w:val="none"/>
                    </w:rPr>
                    <w:t>生活垃圾</w:t>
                  </w:r>
                </w:p>
              </w:tc>
              <w:tc>
                <w:tcPr>
                  <w:tcW w:w="5416" w:type="dxa"/>
                  <w:noWrap w:val="0"/>
                  <w:vAlign w:val="center"/>
                </w:tcPr>
                <w:p w14:paraId="0AF7EF0C">
                  <w:pPr>
                    <w:pStyle w:val="80"/>
                    <w:keepNext w:val="0"/>
                    <w:keepLines w:val="0"/>
                    <w:suppressLineNumbers w:val="0"/>
                    <w:spacing w:before="0" w:beforeAutospacing="0" w:after="0" w:afterAutospacing="0"/>
                    <w:ind w:left="0" w:right="0"/>
                    <w:jc w:val="left"/>
                    <w:rPr>
                      <w:rFonts w:hint="default" w:ascii="Times New Roman" w:hAnsi="Times New Roman" w:eastAsia="宋体" w:cs="Times New Roman"/>
                      <w:bCs/>
                      <w:color w:val="auto"/>
                      <w:kern w:val="2"/>
                      <w:szCs w:val="21"/>
                      <w:highlight w:val="none"/>
                    </w:rPr>
                  </w:pPr>
                  <w:r>
                    <w:rPr>
                      <w:rFonts w:hint="default" w:ascii="Times New Roman" w:hAnsi="Times New Roman" w:eastAsia="宋体" w:cs="Times New Roman"/>
                      <w:bCs/>
                      <w:color w:val="auto"/>
                      <w:kern w:val="2"/>
                      <w:szCs w:val="21"/>
                      <w:highlight w:val="none"/>
                    </w:rPr>
                    <w:t>委托环卫部门定期清运处理</w:t>
                  </w:r>
                </w:p>
              </w:tc>
            </w:tr>
            <w:tr w14:paraId="3FCFE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778" w:type="dxa"/>
                  <w:vMerge w:val="continue"/>
                  <w:noWrap w:val="0"/>
                  <w:vAlign w:val="center"/>
                </w:tcPr>
                <w:p w14:paraId="11B8C9DD">
                  <w:pPr>
                    <w:pStyle w:val="80"/>
                    <w:keepNext w:val="0"/>
                    <w:keepLines w:val="0"/>
                    <w:suppressLineNumbers w:val="0"/>
                    <w:spacing w:before="0" w:beforeAutospacing="0" w:after="0" w:afterAutospacing="0"/>
                    <w:ind w:left="0" w:right="0"/>
                    <w:rPr>
                      <w:rFonts w:hint="default" w:ascii="Times New Roman" w:hAnsi="Times New Roman" w:eastAsia="宋体" w:cs="Times New Roman"/>
                      <w:bCs/>
                      <w:color w:val="auto"/>
                      <w:kern w:val="2"/>
                      <w:szCs w:val="21"/>
                      <w:highlight w:val="none"/>
                    </w:rPr>
                  </w:pPr>
                </w:p>
              </w:tc>
              <w:tc>
                <w:tcPr>
                  <w:tcW w:w="429" w:type="dxa"/>
                  <w:vMerge w:val="continue"/>
                  <w:noWrap w:val="0"/>
                  <w:vAlign w:val="center"/>
                </w:tcPr>
                <w:p w14:paraId="7C01E27E">
                  <w:pPr>
                    <w:pStyle w:val="80"/>
                    <w:keepNext w:val="0"/>
                    <w:keepLines w:val="0"/>
                    <w:suppressLineNumbers w:val="0"/>
                    <w:spacing w:before="0" w:beforeAutospacing="0" w:after="0" w:afterAutospacing="0"/>
                    <w:ind w:left="0" w:right="0"/>
                    <w:rPr>
                      <w:rFonts w:hint="default" w:ascii="Times New Roman" w:hAnsi="Times New Roman" w:eastAsia="宋体" w:cs="Times New Roman"/>
                      <w:bCs/>
                      <w:color w:val="auto"/>
                      <w:kern w:val="2"/>
                      <w:szCs w:val="21"/>
                      <w:highlight w:val="none"/>
                    </w:rPr>
                  </w:pPr>
                </w:p>
              </w:tc>
              <w:tc>
                <w:tcPr>
                  <w:tcW w:w="1159" w:type="dxa"/>
                  <w:noWrap w:val="0"/>
                  <w:vAlign w:val="center"/>
                </w:tcPr>
                <w:p w14:paraId="0D7E0682">
                  <w:pPr>
                    <w:pStyle w:val="80"/>
                    <w:keepNext w:val="0"/>
                    <w:keepLines w:val="0"/>
                    <w:suppressLineNumbers w:val="0"/>
                    <w:spacing w:before="0" w:beforeAutospacing="0" w:after="0" w:afterAutospacing="0"/>
                    <w:ind w:left="0" w:right="0"/>
                    <w:jc w:val="both"/>
                    <w:rPr>
                      <w:rFonts w:hint="default" w:ascii="Times New Roman" w:hAnsi="Times New Roman" w:eastAsia="宋体" w:cs="Times New Roman"/>
                      <w:bCs/>
                      <w:color w:val="auto"/>
                      <w:kern w:val="2"/>
                      <w:szCs w:val="21"/>
                      <w:highlight w:val="none"/>
                      <w:lang w:val="en-US" w:eastAsia="zh-CN"/>
                    </w:rPr>
                  </w:pPr>
                  <w:r>
                    <w:rPr>
                      <w:rFonts w:hint="default" w:ascii="Times New Roman" w:hAnsi="Times New Roman" w:eastAsia="宋体" w:cs="Times New Roman"/>
                      <w:bCs/>
                      <w:color w:val="auto"/>
                      <w:kern w:val="2"/>
                      <w:szCs w:val="21"/>
                      <w:highlight w:val="none"/>
                      <w:lang w:val="en-US" w:eastAsia="zh-CN"/>
                    </w:rPr>
                    <w:t>一般固废</w:t>
                  </w:r>
                </w:p>
              </w:tc>
              <w:tc>
                <w:tcPr>
                  <w:tcW w:w="5416" w:type="dxa"/>
                  <w:noWrap w:val="0"/>
                  <w:vAlign w:val="center"/>
                </w:tcPr>
                <w:p w14:paraId="23656F67">
                  <w:pPr>
                    <w:pStyle w:val="80"/>
                    <w:keepNext w:val="0"/>
                    <w:keepLines w:val="0"/>
                    <w:suppressLineNumbers w:val="0"/>
                    <w:spacing w:before="0" w:beforeAutospacing="0" w:after="0" w:afterAutospacing="0"/>
                    <w:ind w:left="0" w:right="0"/>
                    <w:jc w:val="both"/>
                    <w:rPr>
                      <w:rFonts w:hint="default" w:ascii="Times New Roman" w:hAnsi="Times New Roman" w:eastAsia="宋体" w:cs="Times New Roman"/>
                      <w:bCs/>
                      <w:color w:val="auto"/>
                      <w:kern w:val="2"/>
                      <w:szCs w:val="21"/>
                      <w:highlight w:val="none"/>
                    </w:rPr>
                  </w:pPr>
                  <w:r>
                    <w:rPr>
                      <w:rFonts w:hint="default" w:ascii="Times New Roman" w:hAnsi="Times New Roman" w:eastAsia="宋体" w:cs="Times New Roman"/>
                      <w:bCs/>
                      <w:color w:val="auto"/>
                      <w:kern w:val="2"/>
                      <w:szCs w:val="21"/>
                      <w:highlight w:val="none"/>
                      <w:lang w:val="en-US" w:eastAsia="zh-CN"/>
                    </w:rPr>
                    <w:t>纸板边角料、废包装材料等</w:t>
                  </w:r>
                  <w:r>
                    <w:rPr>
                      <w:rFonts w:hint="default" w:ascii="Times New Roman" w:hAnsi="Times New Roman" w:eastAsia="宋体" w:cs="Times New Roman"/>
                      <w:bCs/>
                      <w:color w:val="auto"/>
                      <w:kern w:val="2"/>
                      <w:szCs w:val="21"/>
                      <w:highlight w:val="none"/>
                    </w:rPr>
                    <w:t>委托专业单位回收处理</w:t>
                  </w:r>
                </w:p>
              </w:tc>
            </w:tr>
            <w:tr w14:paraId="701D0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778" w:type="dxa"/>
                  <w:vMerge w:val="continue"/>
                  <w:noWrap w:val="0"/>
                  <w:vAlign w:val="center"/>
                </w:tcPr>
                <w:p w14:paraId="636CFDA0">
                  <w:pPr>
                    <w:pStyle w:val="80"/>
                    <w:keepNext w:val="0"/>
                    <w:keepLines w:val="0"/>
                    <w:suppressLineNumbers w:val="0"/>
                    <w:spacing w:before="0" w:beforeAutospacing="0" w:after="0" w:afterAutospacing="0"/>
                    <w:ind w:left="0" w:right="0"/>
                    <w:rPr>
                      <w:rFonts w:hint="default" w:ascii="Times New Roman" w:hAnsi="Times New Roman" w:eastAsia="宋体" w:cs="Times New Roman"/>
                      <w:bCs/>
                      <w:color w:val="auto"/>
                      <w:kern w:val="2"/>
                      <w:szCs w:val="21"/>
                      <w:highlight w:val="none"/>
                    </w:rPr>
                  </w:pPr>
                </w:p>
              </w:tc>
              <w:tc>
                <w:tcPr>
                  <w:tcW w:w="429" w:type="dxa"/>
                  <w:vMerge w:val="continue"/>
                  <w:noWrap w:val="0"/>
                  <w:vAlign w:val="center"/>
                </w:tcPr>
                <w:p w14:paraId="6C7049C1">
                  <w:pPr>
                    <w:pStyle w:val="80"/>
                    <w:keepNext w:val="0"/>
                    <w:keepLines w:val="0"/>
                    <w:suppressLineNumbers w:val="0"/>
                    <w:spacing w:before="0" w:beforeAutospacing="0" w:after="0" w:afterAutospacing="0"/>
                    <w:ind w:left="0" w:right="0"/>
                    <w:rPr>
                      <w:rFonts w:hint="default" w:ascii="Times New Roman" w:hAnsi="Times New Roman" w:eastAsia="宋体" w:cs="Times New Roman"/>
                      <w:bCs/>
                      <w:color w:val="auto"/>
                      <w:kern w:val="2"/>
                      <w:szCs w:val="21"/>
                      <w:highlight w:val="none"/>
                    </w:rPr>
                  </w:pPr>
                </w:p>
              </w:tc>
              <w:tc>
                <w:tcPr>
                  <w:tcW w:w="1159" w:type="dxa"/>
                  <w:noWrap w:val="0"/>
                  <w:vAlign w:val="center"/>
                </w:tcPr>
                <w:p w14:paraId="2DB3EA2F">
                  <w:pPr>
                    <w:pStyle w:val="80"/>
                    <w:keepNext w:val="0"/>
                    <w:keepLines w:val="0"/>
                    <w:suppressLineNumbers w:val="0"/>
                    <w:spacing w:before="0" w:beforeAutospacing="0" w:after="0" w:afterAutospacing="0"/>
                    <w:ind w:left="0" w:right="0"/>
                    <w:jc w:val="both"/>
                    <w:rPr>
                      <w:rFonts w:hint="default" w:ascii="Times New Roman" w:hAnsi="Times New Roman" w:eastAsia="宋体" w:cs="Times New Roman"/>
                      <w:bCs/>
                      <w:color w:val="auto"/>
                      <w:kern w:val="2"/>
                      <w:szCs w:val="21"/>
                      <w:highlight w:val="none"/>
                      <w:lang w:val="en-US" w:eastAsia="zh-CN"/>
                    </w:rPr>
                  </w:pPr>
                  <w:r>
                    <w:rPr>
                      <w:rFonts w:hint="default" w:ascii="Times New Roman" w:hAnsi="Times New Roman" w:eastAsia="宋体" w:cs="Times New Roman"/>
                      <w:bCs/>
                      <w:color w:val="auto"/>
                      <w:kern w:val="2"/>
                      <w:szCs w:val="21"/>
                      <w:highlight w:val="none"/>
                      <w:lang w:val="en-US" w:eastAsia="zh-CN"/>
                    </w:rPr>
                    <w:t>危险废物</w:t>
                  </w:r>
                </w:p>
              </w:tc>
              <w:tc>
                <w:tcPr>
                  <w:tcW w:w="5416" w:type="dxa"/>
                  <w:noWrap w:val="0"/>
                  <w:vAlign w:val="center"/>
                </w:tcPr>
                <w:p w14:paraId="529F051A">
                  <w:pPr>
                    <w:pStyle w:val="80"/>
                    <w:keepNext w:val="0"/>
                    <w:keepLines w:val="0"/>
                    <w:suppressLineNumbers w:val="0"/>
                    <w:spacing w:before="0" w:beforeAutospacing="0" w:after="0" w:afterAutospacing="0"/>
                    <w:ind w:left="0" w:right="0"/>
                    <w:jc w:val="left"/>
                    <w:rPr>
                      <w:rFonts w:hint="eastAsia" w:ascii="Times New Roman" w:hAnsi="Times New Roman" w:eastAsia="宋体" w:cs="Times New Roman"/>
                      <w:bCs/>
                      <w:color w:val="auto"/>
                      <w:kern w:val="2"/>
                      <w:szCs w:val="21"/>
                      <w:highlight w:val="none"/>
                      <w:lang w:eastAsia="zh-CN"/>
                    </w:rPr>
                  </w:pPr>
                  <w:r>
                    <w:rPr>
                      <w:rFonts w:hint="default" w:ascii="Times New Roman" w:hAnsi="Times New Roman" w:eastAsia="宋体" w:cs="Times New Roman"/>
                      <w:bCs/>
                      <w:color w:val="auto"/>
                      <w:kern w:val="2"/>
                      <w:szCs w:val="21"/>
                      <w:highlight w:val="none"/>
                      <w:lang w:val="en-US" w:eastAsia="zh-CN"/>
                    </w:rPr>
                    <w:t>废活性炭、废抹布</w:t>
                  </w:r>
                  <w:r>
                    <w:rPr>
                      <w:rFonts w:hint="default" w:ascii="Times New Roman" w:hAnsi="Times New Roman" w:eastAsia="宋体" w:cs="Times New Roman"/>
                      <w:bCs/>
                      <w:color w:val="auto"/>
                      <w:kern w:val="2"/>
                      <w:szCs w:val="21"/>
                      <w:highlight w:val="none"/>
                      <w:lang w:val="en-US" w:eastAsia="zh-CN"/>
                    </w:rPr>
                    <w:t>、废原料桶、PS废版、</w:t>
                  </w:r>
                  <w:r>
                    <w:rPr>
                      <w:rFonts w:hint="eastAsia" w:ascii="Times New Roman" w:eastAsia="宋体" w:cs="Times New Roman"/>
                      <w:bCs/>
                      <w:color w:val="auto"/>
                      <w:kern w:val="2"/>
                      <w:szCs w:val="21"/>
                      <w:highlight w:val="none"/>
                      <w:lang w:val="en-US" w:eastAsia="zh-CN"/>
                    </w:rPr>
                    <w:t>清洗废水、废机油</w:t>
                  </w:r>
                  <w:r>
                    <w:rPr>
                      <w:rFonts w:hint="default" w:ascii="Times New Roman" w:hAnsi="Times New Roman" w:eastAsia="宋体" w:cs="Times New Roman"/>
                      <w:bCs/>
                      <w:color w:val="auto"/>
                      <w:kern w:val="2"/>
                      <w:szCs w:val="21"/>
                      <w:highlight w:val="none"/>
                      <w:lang w:val="en-US" w:eastAsia="zh-CN"/>
                    </w:rPr>
                    <w:t>等</w:t>
                  </w:r>
                  <w:r>
                    <w:rPr>
                      <w:rFonts w:hint="default" w:ascii="Times New Roman" w:hAnsi="Times New Roman" w:eastAsia="宋体" w:cs="Times New Roman"/>
                      <w:bCs/>
                      <w:color w:val="auto"/>
                      <w:kern w:val="2"/>
                      <w:szCs w:val="21"/>
                      <w:highlight w:val="none"/>
                    </w:rPr>
                    <w:t>委托有</w:t>
                  </w:r>
                  <w:r>
                    <w:rPr>
                      <w:rFonts w:hint="default" w:ascii="Times New Roman" w:hAnsi="Times New Roman" w:eastAsia="宋体" w:cs="Times New Roman"/>
                      <w:bCs/>
                      <w:color w:val="auto"/>
                      <w:kern w:val="2"/>
                      <w:szCs w:val="21"/>
                      <w:highlight w:val="none"/>
                      <w:lang w:val="en-US" w:eastAsia="zh-CN"/>
                    </w:rPr>
                    <w:t>危废处理</w:t>
                  </w:r>
                  <w:r>
                    <w:rPr>
                      <w:rFonts w:hint="default" w:ascii="Times New Roman" w:hAnsi="Times New Roman" w:eastAsia="宋体" w:cs="Times New Roman"/>
                      <w:bCs/>
                      <w:color w:val="auto"/>
                      <w:kern w:val="2"/>
                      <w:szCs w:val="21"/>
                      <w:highlight w:val="none"/>
                    </w:rPr>
                    <w:t>资质的单位处理</w:t>
                  </w:r>
                  <w:r>
                    <w:rPr>
                      <w:rFonts w:hint="eastAsia" w:ascii="Times New Roman" w:eastAsia="宋体" w:cs="Times New Roman"/>
                      <w:bCs/>
                      <w:color w:val="auto"/>
                      <w:kern w:val="2"/>
                      <w:szCs w:val="21"/>
                      <w:highlight w:val="none"/>
                      <w:lang w:eastAsia="zh-CN"/>
                    </w:rPr>
                    <w:t>。</w:t>
                  </w:r>
                </w:p>
              </w:tc>
            </w:tr>
          </w:tbl>
          <w:p w14:paraId="11A3D81A">
            <w:pPr>
              <w:keepNext w:val="0"/>
              <w:keepLines w:val="0"/>
              <w:suppressLineNumbers w:val="0"/>
              <w:spacing w:before="0" w:beforeAutospacing="0" w:after="0" w:afterAutospacing="0" w:line="360" w:lineRule="auto"/>
              <w:ind w:left="0" w:right="0" w:firstLine="434" w:firstLineChars="180"/>
              <w:rPr>
                <w:rFonts w:hint="default" w:ascii="Times New Roman" w:hAnsi="Times New Roman" w:eastAsia="宋体" w:cs="Times New Roman"/>
                <w:b/>
                <w:bCs/>
                <w:color w:val="auto"/>
                <w:sz w:val="24"/>
                <w:szCs w:val="32"/>
                <w:highlight w:val="none"/>
              </w:rPr>
            </w:pPr>
            <w:r>
              <w:rPr>
                <w:rFonts w:hint="eastAsia" w:ascii="Times New Roman" w:hAnsi="Times New Roman" w:eastAsia="宋体" w:cs="Times New Roman"/>
                <w:b/>
                <w:bCs/>
                <w:color w:val="auto"/>
                <w:sz w:val="24"/>
                <w:szCs w:val="32"/>
                <w:highlight w:val="none"/>
                <w:lang w:val="en-US" w:eastAsia="zh-CN"/>
              </w:rPr>
              <w:t>2、</w:t>
            </w:r>
            <w:r>
              <w:rPr>
                <w:rFonts w:hint="default" w:ascii="Times New Roman" w:hAnsi="Times New Roman" w:eastAsia="宋体" w:cs="Times New Roman"/>
                <w:b/>
                <w:bCs/>
                <w:color w:val="auto"/>
                <w:sz w:val="24"/>
                <w:szCs w:val="32"/>
                <w:highlight w:val="none"/>
              </w:rPr>
              <w:t>主要产品及产能</w:t>
            </w:r>
          </w:p>
          <w:p w14:paraId="1B5B1F5A">
            <w:pPr>
              <w:keepNext w:val="0"/>
              <w:keepLines w:val="0"/>
              <w:pageBreakBefore w:val="0"/>
              <w:suppressLineNumbers w:val="0"/>
              <w:kinsoku/>
              <w:wordWrap/>
              <w:overflowPunct/>
              <w:topLinePunct w:val="0"/>
              <w:autoSpaceDE/>
              <w:autoSpaceDN/>
              <w:bidi w:val="0"/>
              <w:snapToGrid/>
              <w:spacing w:before="0" w:beforeAutospacing="0" w:after="0" w:afterAutospacing="0" w:line="360" w:lineRule="auto"/>
              <w:ind w:left="0" w:right="0" w:firstLine="432" w:firstLineChars="180"/>
              <w:rPr>
                <w:rFonts w:hint="default" w:ascii="Times New Roman" w:hAnsi="Times New Roman" w:eastAsia="宋体" w:cs="Times New Roman"/>
                <w:b w:val="0"/>
                <w:bCs w:val="0"/>
                <w:color w:val="auto"/>
                <w:sz w:val="24"/>
                <w:szCs w:val="32"/>
                <w:highlight w:val="none"/>
              </w:rPr>
            </w:pPr>
            <w:r>
              <w:rPr>
                <w:rFonts w:hint="default" w:ascii="Times New Roman" w:hAnsi="Times New Roman" w:eastAsia="宋体" w:cs="Times New Roman"/>
                <w:color w:val="auto"/>
                <w:sz w:val="24"/>
                <w:szCs w:val="32"/>
                <w:highlight w:val="none"/>
              </w:rPr>
              <w:t>本项目产品</w:t>
            </w:r>
            <w:r>
              <w:rPr>
                <w:rFonts w:hint="default" w:ascii="Times New Roman" w:hAnsi="Times New Roman" w:eastAsia="宋体" w:cs="Times New Roman"/>
                <w:color w:val="auto"/>
                <w:sz w:val="24"/>
                <w:szCs w:val="32"/>
                <w:highlight w:val="none"/>
                <w:lang w:val="en-US" w:eastAsia="zh-CN"/>
              </w:rPr>
              <w:t>为纸质包装品，主要为</w:t>
            </w:r>
            <w:r>
              <w:rPr>
                <w:rFonts w:hint="eastAsia" w:cs="Times New Roman"/>
                <w:color w:val="auto"/>
                <w:sz w:val="24"/>
                <w:szCs w:val="32"/>
                <w:highlight w:val="none"/>
                <w:lang w:val="en-US" w:eastAsia="zh-CN"/>
              </w:rPr>
              <w:t>纸卡和彩盒</w:t>
            </w:r>
            <w:r>
              <w:rPr>
                <w:rFonts w:hint="default" w:ascii="Times New Roman" w:hAnsi="Times New Roman" w:eastAsia="宋体" w:cs="Times New Roman"/>
                <w:color w:val="auto"/>
                <w:sz w:val="24"/>
                <w:szCs w:val="32"/>
                <w:highlight w:val="none"/>
                <w:lang w:val="en-US" w:eastAsia="zh-CN"/>
              </w:rPr>
              <w:t>，</w:t>
            </w:r>
            <w:r>
              <w:rPr>
                <w:rFonts w:hint="default" w:ascii="Times New Roman" w:hAnsi="Times New Roman" w:eastAsia="宋体" w:cs="Times New Roman"/>
                <w:color w:val="auto"/>
                <w:sz w:val="24"/>
                <w:szCs w:val="32"/>
                <w:highlight w:val="none"/>
              </w:rPr>
              <w:t>产能</w:t>
            </w:r>
            <w:r>
              <w:rPr>
                <w:rFonts w:hint="eastAsia" w:ascii="Times New Roman" w:hAnsi="Times New Roman" w:eastAsia="宋体" w:cs="Times New Roman"/>
                <w:color w:val="auto"/>
                <w:sz w:val="24"/>
                <w:szCs w:val="32"/>
                <w:highlight w:val="none"/>
                <w:lang w:val="en-US" w:eastAsia="zh-CN"/>
              </w:rPr>
              <w:t>如下：</w:t>
            </w:r>
          </w:p>
          <w:p w14:paraId="3410050E">
            <w:pPr>
              <w:pStyle w:val="81"/>
              <w:pageBreakBefore w:val="0"/>
              <w:suppressLineNumbers w:val="0"/>
              <w:kinsoku/>
              <w:wordWrap/>
              <w:overflowPunct/>
              <w:topLinePunct w:val="0"/>
              <w:autoSpaceDE/>
              <w:autoSpaceDN/>
              <w:bidi w:val="0"/>
              <w:snapToGrid/>
              <w:spacing w:before="0" w:beforeLines="0" w:beforeAutospacing="0" w:after="0" w:afterLines="0" w:afterAutospacing="0" w:line="240" w:lineRule="auto"/>
              <w:ind w:right="0" w:firstLine="1621" w:firstLineChars="769"/>
              <w:jc w:val="both"/>
              <w:rPr>
                <w:rFonts w:hint="default" w:ascii="Times New Roman" w:hAnsi="Times New Roman" w:eastAsia="宋体" w:cs="Times New Roman"/>
                <w:b/>
                <w:bCs w:val="0"/>
                <w:color w:val="auto"/>
                <w:sz w:val="21"/>
                <w:szCs w:val="21"/>
                <w:highlight w:val="none"/>
              </w:rPr>
            </w:pPr>
          </w:p>
          <w:p w14:paraId="5776FE00">
            <w:pPr>
              <w:pStyle w:val="81"/>
              <w:pageBreakBefore w:val="0"/>
              <w:suppressLineNumbers w:val="0"/>
              <w:kinsoku/>
              <w:wordWrap/>
              <w:overflowPunct/>
              <w:topLinePunct w:val="0"/>
              <w:autoSpaceDE/>
              <w:autoSpaceDN/>
              <w:bidi w:val="0"/>
              <w:snapToGrid/>
              <w:spacing w:before="0" w:beforeLines="0" w:beforeAutospacing="0" w:after="0" w:afterLines="0" w:afterAutospacing="0" w:line="240" w:lineRule="auto"/>
              <w:ind w:right="0" w:firstLine="1621" w:firstLineChars="769"/>
              <w:jc w:val="both"/>
              <w:rPr>
                <w:rFonts w:hint="default" w:ascii="Times New Roman" w:hAnsi="Times New Roman" w:eastAsia="宋体" w:cs="Times New Roman"/>
                <w:b/>
                <w:bCs w:val="0"/>
                <w:color w:val="auto"/>
                <w:sz w:val="21"/>
                <w:szCs w:val="21"/>
                <w:highlight w:val="none"/>
              </w:rPr>
            </w:pPr>
          </w:p>
          <w:p w14:paraId="2DE5A5A8">
            <w:pPr>
              <w:pStyle w:val="81"/>
              <w:pageBreakBefore w:val="0"/>
              <w:suppressLineNumbers w:val="0"/>
              <w:kinsoku/>
              <w:wordWrap/>
              <w:overflowPunct/>
              <w:topLinePunct w:val="0"/>
              <w:autoSpaceDE/>
              <w:autoSpaceDN/>
              <w:bidi w:val="0"/>
              <w:snapToGrid/>
              <w:spacing w:before="0" w:beforeLines="0" w:beforeAutospacing="0" w:after="0" w:afterLines="0" w:afterAutospacing="0" w:line="240" w:lineRule="auto"/>
              <w:ind w:right="0" w:firstLine="1621" w:firstLineChars="769"/>
              <w:jc w:val="both"/>
              <w:rPr>
                <w:rFonts w:hint="default" w:ascii="Times New Roman" w:hAnsi="Times New Roman" w:eastAsia="宋体" w:cs="Times New Roman"/>
                <w:b/>
                <w:bCs w:val="0"/>
                <w:color w:val="auto"/>
                <w:sz w:val="21"/>
                <w:szCs w:val="21"/>
                <w:highlight w:val="none"/>
              </w:rPr>
            </w:pPr>
          </w:p>
          <w:p w14:paraId="4A4E5688">
            <w:pPr>
              <w:pStyle w:val="81"/>
              <w:pageBreakBefore w:val="0"/>
              <w:suppressLineNumbers w:val="0"/>
              <w:kinsoku/>
              <w:wordWrap/>
              <w:overflowPunct/>
              <w:topLinePunct w:val="0"/>
              <w:autoSpaceDE/>
              <w:autoSpaceDN/>
              <w:bidi w:val="0"/>
              <w:snapToGrid/>
              <w:spacing w:before="0" w:beforeLines="0" w:beforeAutospacing="0" w:after="0" w:afterLines="0" w:afterAutospacing="0" w:line="240" w:lineRule="auto"/>
              <w:ind w:right="0" w:firstLine="1621" w:firstLineChars="769"/>
              <w:jc w:val="both"/>
              <w:rPr>
                <w:rFonts w:hint="default" w:ascii="Times New Roman" w:hAnsi="Times New Roman" w:eastAsia="宋体" w:cs="Times New Roman"/>
                <w:b/>
                <w:bCs w:val="0"/>
                <w:color w:val="auto"/>
                <w:sz w:val="21"/>
                <w:szCs w:val="21"/>
                <w:highlight w:val="none"/>
              </w:rPr>
            </w:pPr>
          </w:p>
          <w:p w14:paraId="215712B0">
            <w:pPr>
              <w:pStyle w:val="81"/>
              <w:pageBreakBefore w:val="0"/>
              <w:suppressLineNumbers w:val="0"/>
              <w:kinsoku/>
              <w:wordWrap/>
              <w:overflowPunct/>
              <w:topLinePunct w:val="0"/>
              <w:autoSpaceDE/>
              <w:autoSpaceDN/>
              <w:bidi w:val="0"/>
              <w:snapToGrid/>
              <w:spacing w:before="0" w:beforeLines="0" w:beforeAutospacing="0" w:after="0" w:afterLines="0" w:afterAutospacing="0" w:line="240" w:lineRule="auto"/>
              <w:ind w:right="0" w:firstLine="1621" w:firstLineChars="769"/>
              <w:jc w:val="both"/>
              <w:rPr>
                <w:rFonts w:hint="default" w:ascii="Times New Roman" w:hAnsi="Times New Roman" w:eastAsia="宋体" w:cs="Times New Roman"/>
                <w:b/>
                <w:bCs w:val="0"/>
                <w:color w:val="auto"/>
                <w:sz w:val="21"/>
                <w:szCs w:val="21"/>
                <w:highlight w:val="none"/>
              </w:rPr>
            </w:pPr>
          </w:p>
          <w:p w14:paraId="76077615">
            <w:pPr>
              <w:pStyle w:val="81"/>
              <w:pageBreakBefore w:val="0"/>
              <w:suppressLineNumbers w:val="0"/>
              <w:kinsoku/>
              <w:wordWrap/>
              <w:overflowPunct/>
              <w:topLinePunct w:val="0"/>
              <w:autoSpaceDE/>
              <w:autoSpaceDN/>
              <w:bidi w:val="0"/>
              <w:snapToGrid/>
              <w:spacing w:before="0" w:beforeLines="0" w:beforeAutospacing="0" w:after="0" w:afterLines="0" w:afterAutospacing="0" w:line="240" w:lineRule="auto"/>
              <w:ind w:right="0" w:firstLine="1621" w:firstLineChars="769"/>
              <w:jc w:val="both"/>
              <w:rPr>
                <w:rFonts w:hint="default" w:ascii="Times New Roman" w:hAnsi="Times New Roman" w:eastAsia="宋体" w:cs="Times New Roman"/>
                <w:b/>
                <w:bCs w:val="0"/>
                <w:color w:val="auto"/>
                <w:sz w:val="21"/>
                <w:szCs w:val="21"/>
                <w:highlight w:val="none"/>
              </w:rPr>
            </w:pPr>
          </w:p>
          <w:p w14:paraId="4ACD96AF">
            <w:pPr>
              <w:pStyle w:val="81"/>
              <w:pageBreakBefore w:val="0"/>
              <w:suppressLineNumbers w:val="0"/>
              <w:kinsoku/>
              <w:wordWrap/>
              <w:overflowPunct/>
              <w:topLinePunct w:val="0"/>
              <w:autoSpaceDE/>
              <w:autoSpaceDN/>
              <w:bidi w:val="0"/>
              <w:snapToGrid/>
              <w:spacing w:before="0" w:beforeLines="0" w:beforeAutospacing="0" w:after="0" w:afterLines="0" w:afterAutospacing="0" w:line="240" w:lineRule="auto"/>
              <w:ind w:right="0" w:firstLine="1621" w:firstLineChars="769"/>
              <w:jc w:val="both"/>
              <w:rPr>
                <w:rFonts w:hint="default" w:ascii="Times New Roman" w:hAnsi="Times New Roman" w:eastAsia="宋体" w:cs="Times New Roman"/>
                <w:b/>
                <w:bCs w:val="0"/>
                <w:color w:val="auto"/>
                <w:sz w:val="21"/>
                <w:szCs w:val="21"/>
                <w:highlight w:val="none"/>
              </w:rPr>
            </w:pPr>
          </w:p>
          <w:p w14:paraId="4BA4BA4B">
            <w:pPr>
              <w:pStyle w:val="81"/>
              <w:pageBreakBefore w:val="0"/>
              <w:suppressLineNumbers w:val="0"/>
              <w:kinsoku/>
              <w:wordWrap/>
              <w:overflowPunct/>
              <w:topLinePunct w:val="0"/>
              <w:autoSpaceDE/>
              <w:autoSpaceDN/>
              <w:bidi w:val="0"/>
              <w:snapToGrid/>
              <w:spacing w:before="0" w:beforeLines="0" w:beforeAutospacing="0" w:after="0" w:afterLines="0" w:afterAutospacing="0" w:line="240" w:lineRule="auto"/>
              <w:ind w:right="0" w:firstLine="1621" w:firstLineChars="769"/>
              <w:jc w:val="both"/>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表</w:t>
            </w:r>
            <w:r>
              <w:rPr>
                <w:rFonts w:hint="eastAsia" w:ascii="Times New Roman" w:eastAsia="宋体" w:cs="Times New Roman"/>
                <w:b/>
                <w:bCs w:val="0"/>
                <w:color w:val="auto"/>
                <w:sz w:val="21"/>
                <w:szCs w:val="21"/>
                <w:highlight w:val="none"/>
                <w:lang w:val="en-US" w:eastAsia="zh-CN"/>
              </w:rPr>
              <w:t xml:space="preserve">2-3 </w:t>
            </w:r>
            <w:r>
              <w:rPr>
                <w:rFonts w:hint="default" w:ascii="Times New Roman" w:hAnsi="Times New Roman" w:eastAsia="宋体" w:cs="Times New Roman"/>
                <w:b/>
                <w:bCs w:val="0"/>
                <w:color w:val="auto"/>
                <w:sz w:val="21"/>
                <w:szCs w:val="21"/>
                <w:highlight w:val="none"/>
              </w:rPr>
              <w:t>项目产品方案一览表</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3"/>
              <w:gridCol w:w="1699"/>
              <w:gridCol w:w="2655"/>
              <w:gridCol w:w="1591"/>
            </w:tblGrid>
            <w:tr w14:paraId="3B259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303" w:type="dxa"/>
                  <w:noWrap w:val="0"/>
                  <w:vAlign w:val="center"/>
                </w:tcPr>
                <w:p w14:paraId="30B4A501">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序号</w:t>
                  </w:r>
                </w:p>
              </w:tc>
              <w:tc>
                <w:tcPr>
                  <w:tcW w:w="1699" w:type="dxa"/>
                  <w:noWrap w:val="0"/>
                  <w:vAlign w:val="center"/>
                </w:tcPr>
                <w:p w14:paraId="2554BBA2">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产品名称</w:t>
                  </w:r>
                </w:p>
              </w:tc>
              <w:tc>
                <w:tcPr>
                  <w:tcW w:w="2655" w:type="dxa"/>
                  <w:noWrap w:val="0"/>
                  <w:vAlign w:val="center"/>
                </w:tcPr>
                <w:p w14:paraId="73A2202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图片</w:t>
                  </w:r>
                </w:p>
              </w:tc>
              <w:tc>
                <w:tcPr>
                  <w:tcW w:w="1591" w:type="dxa"/>
                  <w:noWrap w:val="0"/>
                  <w:vAlign w:val="center"/>
                </w:tcPr>
                <w:p w14:paraId="64C5D886">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年产量</w:t>
                  </w:r>
                </w:p>
              </w:tc>
            </w:tr>
            <w:tr w14:paraId="31F59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303" w:type="dxa"/>
                  <w:noWrap w:val="0"/>
                  <w:vAlign w:val="center"/>
                </w:tcPr>
                <w:p w14:paraId="0E2F27BA">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rPr>
                  </w:pPr>
                  <w:bookmarkStart w:id="2" w:name="OLE_LINK2" w:colFirst="1" w:colLast="1"/>
                  <w:r>
                    <w:rPr>
                      <w:rFonts w:hint="default" w:ascii="Times New Roman" w:hAnsi="Times New Roman" w:cs="Times New Roman"/>
                      <w:color w:val="auto"/>
                      <w:highlight w:val="none"/>
                    </w:rPr>
                    <w:t>1</w:t>
                  </w:r>
                </w:p>
              </w:tc>
              <w:tc>
                <w:tcPr>
                  <w:tcW w:w="1699" w:type="dxa"/>
                  <w:noWrap w:val="0"/>
                  <w:vAlign w:val="center"/>
                </w:tcPr>
                <w:p w14:paraId="02176949">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纸卡</w:t>
                  </w:r>
                </w:p>
              </w:tc>
              <w:tc>
                <w:tcPr>
                  <w:tcW w:w="2655" w:type="dxa"/>
                  <w:noWrap w:val="0"/>
                  <w:vAlign w:val="center"/>
                </w:tcPr>
                <w:p w14:paraId="04E51FA7">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color w:val="auto"/>
                    </w:rPr>
                    <w:drawing>
                      <wp:inline distT="0" distB="0" distL="114300" distR="114300">
                        <wp:extent cx="838835" cy="1178560"/>
                        <wp:effectExtent l="0" t="0" r="2540" b="12065"/>
                        <wp:docPr id="12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6"/>
                                <pic:cNvPicPr>
                                  <a:picLocks noChangeAspect="1"/>
                                </pic:cNvPicPr>
                              </pic:nvPicPr>
                              <pic:blipFill>
                                <a:blip r:embed="rId9"/>
                                <a:stretch>
                                  <a:fillRect/>
                                </a:stretch>
                              </pic:blipFill>
                              <pic:spPr>
                                <a:xfrm rot="16200000">
                                  <a:off x="0" y="0"/>
                                  <a:ext cx="838835" cy="1178560"/>
                                </a:xfrm>
                                <a:prstGeom prst="rect">
                                  <a:avLst/>
                                </a:prstGeom>
                                <a:noFill/>
                                <a:ln>
                                  <a:noFill/>
                                </a:ln>
                              </pic:spPr>
                            </pic:pic>
                          </a:graphicData>
                        </a:graphic>
                      </wp:inline>
                    </w:drawing>
                  </w:r>
                </w:p>
              </w:tc>
              <w:tc>
                <w:tcPr>
                  <w:tcW w:w="1591" w:type="dxa"/>
                  <w:noWrap w:val="0"/>
                  <w:vAlign w:val="center"/>
                </w:tcPr>
                <w:p w14:paraId="30CA5917">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w:t>
                  </w:r>
                  <w:r>
                    <w:rPr>
                      <w:rFonts w:hint="eastAsia" w:ascii="Times New Roman" w:hAnsi="Times New Roman" w:cs="Times New Roman"/>
                      <w:color w:val="auto"/>
                      <w:highlight w:val="none"/>
                      <w:lang w:val="en-US" w:eastAsia="zh-CN"/>
                    </w:rPr>
                    <w:t>000</w:t>
                  </w:r>
                  <w:r>
                    <w:rPr>
                      <w:rFonts w:hint="default" w:ascii="Times New Roman" w:hAnsi="Times New Roman" w:cs="Times New Roman"/>
                      <w:color w:val="auto"/>
                      <w:highlight w:val="none"/>
                      <w:lang w:val="en-US" w:eastAsia="zh-CN"/>
                    </w:rPr>
                    <w:t>万张</w:t>
                  </w:r>
                </w:p>
              </w:tc>
            </w:tr>
            <w:tr w14:paraId="15998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303" w:type="dxa"/>
                  <w:noWrap w:val="0"/>
                  <w:vAlign w:val="center"/>
                </w:tcPr>
                <w:p w14:paraId="20C196ED">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1699" w:type="dxa"/>
                  <w:noWrap w:val="0"/>
                  <w:vAlign w:val="center"/>
                </w:tcPr>
                <w:p w14:paraId="025FD7B1">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彩盒</w:t>
                  </w:r>
                </w:p>
              </w:tc>
              <w:tc>
                <w:tcPr>
                  <w:tcW w:w="2655" w:type="dxa"/>
                  <w:noWrap w:val="0"/>
                  <w:vAlign w:val="center"/>
                </w:tcPr>
                <w:p w14:paraId="28E35318">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drawing>
                      <wp:inline distT="0" distB="0" distL="114300" distR="114300">
                        <wp:extent cx="942340" cy="1256665"/>
                        <wp:effectExtent l="0" t="0" r="635" b="10160"/>
                        <wp:docPr id="124" name="图片 124" descr="75a45e03db4be6dfb04a3c16ece17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75a45e03db4be6dfb04a3c16ece17582"/>
                                <pic:cNvPicPr>
                                  <a:picLocks noChangeAspect="1"/>
                                </pic:cNvPicPr>
                              </pic:nvPicPr>
                              <pic:blipFill>
                                <a:blip r:embed="rId10"/>
                                <a:stretch>
                                  <a:fillRect/>
                                </a:stretch>
                              </pic:blipFill>
                              <pic:spPr>
                                <a:xfrm rot="16200000">
                                  <a:off x="0" y="0"/>
                                  <a:ext cx="942340" cy="1256665"/>
                                </a:xfrm>
                                <a:prstGeom prst="rect">
                                  <a:avLst/>
                                </a:prstGeom>
                              </pic:spPr>
                            </pic:pic>
                          </a:graphicData>
                        </a:graphic>
                      </wp:inline>
                    </w:drawing>
                  </w:r>
                </w:p>
              </w:tc>
              <w:tc>
                <w:tcPr>
                  <w:tcW w:w="1591" w:type="dxa"/>
                  <w:noWrap w:val="0"/>
                  <w:vAlign w:val="center"/>
                </w:tcPr>
                <w:p w14:paraId="2DC72886">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w:t>
                  </w:r>
                  <w:r>
                    <w:rPr>
                      <w:rFonts w:hint="eastAsia" w:ascii="Times New Roman" w:hAnsi="Times New Roman" w:cs="Times New Roman"/>
                      <w:color w:val="auto"/>
                      <w:highlight w:val="none"/>
                      <w:lang w:val="en-US" w:eastAsia="zh-CN"/>
                    </w:rPr>
                    <w:t>00</w:t>
                  </w:r>
                  <w:r>
                    <w:rPr>
                      <w:rFonts w:hint="default" w:ascii="Times New Roman" w:hAnsi="Times New Roman" w:cs="Times New Roman"/>
                      <w:color w:val="auto"/>
                      <w:highlight w:val="none"/>
                      <w:lang w:val="en-US" w:eastAsia="zh-CN"/>
                    </w:rPr>
                    <w:t>万个</w:t>
                  </w:r>
                </w:p>
              </w:tc>
            </w:tr>
            <w:bookmarkEnd w:id="2"/>
          </w:tbl>
          <w:p w14:paraId="2ECDA31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sz w:val="24"/>
                <w:szCs w:val="32"/>
                <w:highlight w:val="none"/>
                <w:lang w:val="en-US" w:eastAsia="zh-CN"/>
              </w:rPr>
            </w:pPr>
            <w:r>
              <w:rPr>
                <w:rFonts w:hint="eastAsia" w:ascii="Times New Roman" w:hAnsi="Times New Roman" w:eastAsia="宋体" w:cs="Times New Roman"/>
                <w:b w:val="0"/>
                <w:bCs w:val="0"/>
                <w:color w:val="auto"/>
                <w:sz w:val="24"/>
                <w:szCs w:val="32"/>
                <w:highlight w:val="none"/>
                <w:lang w:val="en-US" w:eastAsia="zh-CN"/>
              </w:rPr>
              <w:t>产品的印刷尺寸以及参数如下表所示：</w:t>
            </w:r>
          </w:p>
          <w:p w14:paraId="79AF91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4"/>
                <w:highlight w:val="none"/>
                <w:lang w:val="en-US" w:eastAsia="zh-CN"/>
              </w:rPr>
            </w:pPr>
            <w:r>
              <w:rPr>
                <w:rFonts w:hint="default" w:ascii="Times New Roman" w:hAnsi="Times New Roman" w:eastAsia="宋体" w:cs="Times New Roman"/>
                <w:b/>
                <w:bCs/>
                <w:color w:val="auto"/>
                <w:sz w:val="21"/>
                <w:szCs w:val="24"/>
                <w:highlight w:val="none"/>
                <w:lang w:val="en-US" w:eastAsia="zh-CN"/>
              </w:rPr>
              <w:t>表</w:t>
            </w:r>
            <w:r>
              <w:rPr>
                <w:rFonts w:hint="eastAsia" w:cs="Times New Roman"/>
                <w:b/>
                <w:bCs/>
                <w:color w:val="auto"/>
                <w:sz w:val="21"/>
                <w:szCs w:val="24"/>
                <w:highlight w:val="none"/>
                <w:lang w:val="en-US" w:eastAsia="zh-CN"/>
              </w:rPr>
              <w:t>2-4</w:t>
            </w:r>
            <w:r>
              <w:rPr>
                <w:rFonts w:hint="default" w:ascii="Times New Roman" w:hAnsi="Times New Roman" w:eastAsia="宋体" w:cs="Times New Roman"/>
                <w:b/>
                <w:bCs/>
                <w:color w:val="auto"/>
                <w:sz w:val="21"/>
                <w:szCs w:val="24"/>
                <w:highlight w:val="none"/>
                <w:lang w:val="en-US" w:eastAsia="zh-CN"/>
              </w:rPr>
              <w:t xml:space="preserve"> 印刷面积</w:t>
            </w:r>
            <w:r>
              <w:rPr>
                <w:rFonts w:hint="eastAsia" w:ascii="Times New Roman" w:hAnsi="Times New Roman" w:eastAsia="宋体" w:cs="Times New Roman"/>
                <w:b/>
                <w:bCs/>
                <w:color w:val="auto"/>
                <w:sz w:val="21"/>
                <w:szCs w:val="24"/>
                <w:highlight w:val="none"/>
                <w:lang w:val="en-US" w:eastAsia="zh-CN"/>
              </w:rPr>
              <w:t>参数一览表</w:t>
            </w:r>
          </w:p>
          <w:tbl>
            <w:tblPr>
              <w:tblStyle w:val="32"/>
              <w:tblW w:w="78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3"/>
              <w:gridCol w:w="904"/>
              <w:gridCol w:w="907"/>
              <w:gridCol w:w="918"/>
              <w:gridCol w:w="1544"/>
              <w:gridCol w:w="1271"/>
              <w:gridCol w:w="1305"/>
            </w:tblGrid>
            <w:tr w14:paraId="031D1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23" w:type="dxa"/>
                  <w:vMerge w:val="restart"/>
                  <w:tcBorders>
                    <w:top w:val="single" w:color="auto" w:sz="4" w:space="0"/>
                    <w:left w:val="single" w:color="auto" w:sz="4" w:space="0"/>
                    <w:bottom w:val="single" w:color="auto" w:sz="4" w:space="0"/>
                    <w:right w:val="single" w:color="auto" w:sz="4" w:space="0"/>
                  </w:tcBorders>
                  <w:noWrap w:val="0"/>
                  <w:vAlign w:val="center"/>
                </w:tcPr>
                <w:p w14:paraId="025E33FA">
                  <w:pPr>
                    <w:pStyle w:val="60"/>
                    <w:keepNext w:val="0"/>
                    <w:keepLines w:val="0"/>
                    <w:widowControl w:val="0"/>
                    <w:suppressLineNumbers w:val="0"/>
                    <w:autoSpaceDE w:val="0"/>
                    <w:autoSpaceDN/>
                    <w:spacing w:line="240" w:lineRule="auto"/>
                    <w:ind w:left="0" w:firstLine="0" w:firstLineChars="0"/>
                    <w:jc w:val="center"/>
                    <w:rPr>
                      <w:rFonts w:hint="default" w:ascii="Times New Roman" w:hAnsi="Times New Roman" w:eastAsia="宋体" w:cs="Times New Roman"/>
                      <w:b/>
                      <w:bCs/>
                      <w:caps w:val="0"/>
                      <w:color w:val="auto"/>
                      <w:kern w:val="2"/>
                      <w:sz w:val="21"/>
                      <w:szCs w:val="21"/>
                      <w:highlight w:val="none"/>
                      <w:lang w:val="en-US" w:eastAsia="zh-CN"/>
                    </w:rPr>
                  </w:pPr>
                  <w:r>
                    <w:rPr>
                      <w:rFonts w:hint="default" w:ascii="Times New Roman" w:hAnsi="Times New Roman" w:eastAsia="宋体" w:cs="Times New Roman"/>
                      <w:b/>
                      <w:bCs/>
                      <w:caps w:val="0"/>
                      <w:color w:val="auto"/>
                      <w:kern w:val="2"/>
                      <w:sz w:val="21"/>
                      <w:szCs w:val="21"/>
                      <w:highlight w:val="none"/>
                      <w:lang w:val="en-US" w:eastAsia="zh-CN"/>
                    </w:rPr>
                    <w:t>产品</w:t>
                  </w:r>
                </w:p>
                <w:p w14:paraId="6F4E4429">
                  <w:pPr>
                    <w:pStyle w:val="60"/>
                    <w:keepNext w:val="0"/>
                    <w:keepLines w:val="0"/>
                    <w:widowControl w:val="0"/>
                    <w:suppressLineNumbers w:val="0"/>
                    <w:autoSpaceDE w:val="0"/>
                    <w:autoSpaceDN/>
                    <w:spacing w:line="240" w:lineRule="auto"/>
                    <w:ind w:left="0" w:firstLine="0" w:firstLineChars="0"/>
                    <w:jc w:val="center"/>
                    <w:rPr>
                      <w:rFonts w:hint="default" w:ascii="Times New Roman" w:hAnsi="Times New Roman" w:eastAsia="宋体" w:cs="Times New Roman"/>
                      <w:b/>
                      <w:bCs/>
                      <w:caps w:val="0"/>
                      <w:color w:val="auto"/>
                      <w:kern w:val="2"/>
                      <w:sz w:val="21"/>
                      <w:szCs w:val="21"/>
                      <w:highlight w:val="none"/>
                      <w:lang w:val="en-US" w:eastAsia="zh-CN"/>
                    </w:rPr>
                  </w:pPr>
                  <w:r>
                    <w:rPr>
                      <w:rFonts w:hint="default" w:ascii="Times New Roman" w:hAnsi="Times New Roman" w:eastAsia="宋体" w:cs="Times New Roman"/>
                      <w:b/>
                      <w:bCs/>
                      <w:caps w:val="0"/>
                      <w:color w:val="auto"/>
                      <w:kern w:val="2"/>
                      <w:sz w:val="21"/>
                      <w:szCs w:val="21"/>
                      <w:highlight w:val="none"/>
                      <w:lang w:val="en-US" w:eastAsia="zh-CN"/>
                    </w:rPr>
                    <w:t>名称</w:t>
                  </w:r>
                </w:p>
              </w:tc>
              <w:tc>
                <w:tcPr>
                  <w:tcW w:w="2729" w:type="dxa"/>
                  <w:gridSpan w:val="3"/>
                  <w:tcBorders>
                    <w:top w:val="single" w:color="auto" w:sz="4" w:space="0"/>
                    <w:left w:val="single" w:color="auto" w:sz="4" w:space="0"/>
                    <w:bottom w:val="single" w:color="auto" w:sz="4" w:space="0"/>
                    <w:right w:val="single" w:color="auto" w:sz="4" w:space="0"/>
                  </w:tcBorders>
                  <w:noWrap w:val="0"/>
                  <w:vAlign w:val="center"/>
                </w:tcPr>
                <w:p w14:paraId="2926AB0A">
                  <w:pPr>
                    <w:pStyle w:val="60"/>
                    <w:keepNext w:val="0"/>
                    <w:keepLines w:val="0"/>
                    <w:widowControl w:val="0"/>
                    <w:suppressLineNumbers w:val="0"/>
                    <w:autoSpaceDE w:val="0"/>
                    <w:autoSpaceDN/>
                    <w:spacing w:line="240" w:lineRule="auto"/>
                    <w:ind w:left="0" w:firstLine="0" w:firstLineChars="0"/>
                    <w:jc w:val="center"/>
                    <w:rPr>
                      <w:rFonts w:hint="default" w:ascii="Times New Roman" w:hAnsi="Times New Roman" w:eastAsia="宋体" w:cs="Times New Roman"/>
                      <w:b/>
                      <w:bCs/>
                      <w:caps w:val="0"/>
                      <w:color w:val="auto"/>
                      <w:kern w:val="2"/>
                      <w:sz w:val="21"/>
                      <w:szCs w:val="21"/>
                      <w:highlight w:val="none"/>
                      <w:lang w:val="en-US" w:eastAsia="zh-CN"/>
                    </w:rPr>
                  </w:pPr>
                  <w:r>
                    <w:rPr>
                      <w:rFonts w:hint="default" w:ascii="Times New Roman" w:hAnsi="Times New Roman" w:eastAsia="宋体" w:cs="Times New Roman"/>
                      <w:b/>
                      <w:bCs/>
                      <w:caps w:val="0"/>
                      <w:color w:val="auto"/>
                      <w:kern w:val="2"/>
                      <w:sz w:val="21"/>
                      <w:szCs w:val="21"/>
                      <w:highlight w:val="none"/>
                      <w:lang w:val="en-US" w:eastAsia="zh-CN"/>
                    </w:rPr>
                    <w:t>平均尺寸</w:t>
                  </w:r>
                </w:p>
              </w:tc>
              <w:tc>
                <w:tcPr>
                  <w:tcW w:w="1544" w:type="dxa"/>
                  <w:vMerge w:val="restart"/>
                  <w:tcBorders>
                    <w:top w:val="single" w:color="auto" w:sz="4" w:space="0"/>
                    <w:left w:val="single" w:color="auto" w:sz="4" w:space="0"/>
                    <w:right w:val="single" w:color="auto" w:sz="4" w:space="0"/>
                  </w:tcBorders>
                  <w:noWrap w:val="0"/>
                  <w:vAlign w:val="center"/>
                </w:tcPr>
                <w:p w14:paraId="5795B95E">
                  <w:pPr>
                    <w:pStyle w:val="60"/>
                    <w:keepNext w:val="0"/>
                    <w:keepLines w:val="0"/>
                    <w:widowControl w:val="0"/>
                    <w:suppressLineNumbers w:val="0"/>
                    <w:autoSpaceDE w:val="0"/>
                    <w:autoSpaceDN/>
                    <w:spacing w:line="240" w:lineRule="auto"/>
                    <w:ind w:left="0" w:firstLine="0" w:firstLineChars="0"/>
                    <w:jc w:val="center"/>
                    <w:rPr>
                      <w:rFonts w:hint="default" w:ascii="Times New Roman" w:hAnsi="Times New Roman" w:eastAsia="宋体" w:cs="Times New Roman"/>
                      <w:b/>
                      <w:bCs/>
                      <w:caps w:val="0"/>
                      <w:color w:val="auto"/>
                      <w:kern w:val="2"/>
                      <w:sz w:val="21"/>
                      <w:szCs w:val="21"/>
                      <w:highlight w:val="none"/>
                      <w:lang w:val="en-US" w:eastAsia="zh-CN"/>
                    </w:rPr>
                  </w:pPr>
                  <w:r>
                    <w:rPr>
                      <w:rFonts w:hint="default" w:ascii="Times New Roman" w:hAnsi="Times New Roman" w:eastAsia="宋体" w:cs="Times New Roman"/>
                      <w:b/>
                      <w:bCs/>
                      <w:caps w:val="0"/>
                      <w:color w:val="auto"/>
                      <w:kern w:val="2"/>
                      <w:sz w:val="21"/>
                      <w:szCs w:val="21"/>
                      <w:highlight w:val="none"/>
                      <w:lang w:val="en-US" w:eastAsia="zh-CN"/>
                    </w:rPr>
                    <w:t>产品产量</w:t>
                  </w:r>
                </w:p>
                <w:p w14:paraId="7F7BC01B">
                  <w:pPr>
                    <w:pStyle w:val="60"/>
                    <w:keepNext w:val="0"/>
                    <w:keepLines w:val="0"/>
                    <w:widowControl w:val="0"/>
                    <w:suppressLineNumbers w:val="0"/>
                    <w:autoSpaceDE w:val="0"/>
                    <w:autoSpaceDN/>
                    <w:spacing w:line="240" w:lineRule="auto"/>
                    <w:ind w:left="0" w:firstLine="0" w:firstLineChars="0"/>
                    <w:jc w:val="center"/>
                    <w:rPr>
                      <w:rFonts w:hint="default" w:ascii="Times New Roman" w:hAnsi="Times New Roman" w:eastAsia="宋体" w:cs="Times New Roman"/>
                      <w:b/>
                      <w:bCs/>
                      <w:caps w:val="0"/>
                      <w:color w:val="auto"/>
                      <w:kern w:val="2"/>
                      <w:sz w:val="21"/>
                      <w:szCs w:val="21"/>
                      <w:highlight w:val="none"/>
                      <w:lang w:val="en-US" w:eastAsia="zh-CN"/>
                    </w:rPr>
                  </w:pPr>
                  <w:r>
                    <w:rPr>
                      <w:rFonts w:hint="default" w:ascii="Times New Roman" w:hAnsi="Times New Roman" w:eastAsia="宋体" w:cs="Times New Roman"/>
                      <w:b/>
                      <w:bCs/>
                      <w:caps w:val="0"/>
                      <w:color w:val="auto"/>
                      <w:kern w:val="2"/>
                      <w:sz w:val="21"/>
                      <w:szCs w:val="21"/>
                      <w:highlight w:val="none"/>
                      <w:lang w:val="en-US" w:eastAsia="zh-CN"/>
                    </w:rPr>
                    <w:t>（万张/万个）</w:t>
                  </w:r>
                </w:p>
              </w:tc>
              <w:tc>
                <w:tcPr>
                  <w:tcW w:w="1271" w:type="dxa"/>
                  <w:vMerge w:val="restart"/>
                  <w:tcBorders>
                    <w:top w:val="single" w:color="auto" w:sz="4" w:space="0"/>
                    <w:left w:val="single" w:color="auto" w:sz="4" w:space="0"/>
                    <w:bottom w:val="single" w:color="auto" w:sz="4" w:space="0"/>
                    <w:right w:val="single" w:color="auto" w:sz="4" w:space="0"/>
                  </w:tcBorders>
                  <w:noWrap w:val="0"/>
                  <w:vAlign w:val="center"/>
                </w:tcPr>
                <w:p w14:paraId="74ABDC5D">
                  <w:pPr>
                    <w:pStyle w:val="60"/>
                    <w:keepNext w:val="0"/>
                    <w:keepLines w:val="0"/>
                    <w:widowControl w:val="0"/>
                    <w:suppressLineNumbers w:val="0"/>
                    <w:autoSpaceDE w:val="0"/>
                    <w:autoSpaceDN/>
                    <w:spacing w:line="240" w:lineRule="auto"/>
                    <w:ind w:left="0" w:firstLine="0" w:firstLineChars="0"/>
                    <w:jc w:val="center"/>
                    <w:rPr>
                      <w:rFonts w:hint="default" w:ascii="Times New Roman" w:hAnsi="Times New Roman" w:eastAsia="宋体" w:cs="Times New Roman"/>
                      <w:b/>
                      <w:bCs/>
                      <w:caps w:val="0"/>
                      <w:color w:val="auto"/>
                      <w:kern w:val="2"/>
                      <w:sz w:val="21"/>
                      <w:szCs w:val="21"/>
                      <w:highlight w:val="none"/>
                      <w:lang w:val="en-US" w:eastAsia="zh-CN"/>
                    </w:rPr>
                  </w:pPr>
                  <w:r>
                    <w:rPr>
                      <w:rFonts w:hint="eastAsia" w:cs="Times New Roman"/>
                      <w:b/>
                      <w:bCs/>
                      <w:caps w:val="0"/>
                      <w:color w:val="auto"/>
                      <w:kern w:val="2"/>
                      <w:sz w:val="21"/>
                      <w:szCs w:val="21"/>
                      <w:highlight w:val="none"/>
                      <w:lang w:val="en-US" w:eastAsia="zh-CN"/>
                    </w:rPr>
                    <w:t>平均</w:t>
                  </w:r>
                  <w:r>
                    <w:rPr>
                      <w:rFonts w:hint="default" w:ascii="Times New Roman" w:hAnsi="Times New Roman" w:eastAsia="宋体" w:cs="Times New Roman"/>
                      <w:b/>
                      <w:bCs/>
                      <w:caps w:val="0"/>
                      <w:color w:val="auto"/>
                      <w:kern w:val="2"/>
                      <w:sz w:val="21"/>
                      <w:szCs w:val="21"/>
                      <w:highlight w:val="none"/>
                      <w:lang w:val="en-US" w:eastAsia="zh-CN"/>
                    </w:rPr>
                    <w:t>单个产品印刷面积m</w:t>
                  </w:r>
                  <w:r>
                    <w:rPr>
                      <w:rFonts w:hint="default" w:ascii="Times New Roman" w:hAnsi="Times New Roman" w:eastAsia="宋体" w:cs="Times New Roman"/>
                      <w:b/>
                      <w:bCs/>
                      <w:caps w:val="0"/>
                      <w:color w:val="auto"/>
                      <w:kern w:val="2"/>
                      <w:sz w:val="21"/>
                      <w:szCs w:val="21"/>
                      <w:highlight w:val="none"/>
                      <w:vertAlign w:val="superscript"/>
                      <w:lang w:val="en-US" w:eastAsia="zh-CN"/>
                    </w:rPr>
                    <w:t>2</w:t>
                  </w:r>
                </w:p>
              </w:tc>
              <w:tc>
                <w:tcPr>
                  <w:tcW w:w="1305" w:type="dxa"/>
                  <w:vMerge w:val="restart"/>
                  <w:tcBorders>
                    <w:top w:val="single" w:color="auto" w:sz="4" w:space="0"/>
                    <w:left w:val="single" w:color="auto" w:sz="4" w:space="0"/>
                    <w:right w:val="single" w:color="auto" w:sz="4" w:space="0"/>
                  </w:tcBorders>
                  <w:noWrap w:val="0"/>
                  <w:vAlign w:val="center"/>
                </w:tcPr>
                <w:p w14:paraId="14715338">
                  <w:pPr>
                    <w:pStyle w:val="60"/>
                    <w:keepNext w:val="0"/>
                    <w:keepLines w:val="0"/>
                    <w:widowControl w:val="0"/>
                    <w:suppressLineNumbers w:val="0"/>
                    <w:autoSpaceDE w:val="0"/>
                    <w:autoSpaceDN/>
                    <w:spacing w:line="240" w:lineRule="auto"/>
                    <w:ind w:left="0" w:firstLine="0" w:firstLineChars="0"/>
                    <w:jc w:val="center"/>
                    <w:rPr>
                      <w:rFonts w:hint="default" w:ascii="Times New Roman" w:hAnsi="Times New Roman" w:eastAsia="宋体" w:cs="Times New Roman"/>
                      <w:b/>
                      <w:bCs/>
                      <w:caps w:val="0"/>
                      <w:color w:val="auto"/>
                      <w:kern w:val="2"/>
                      <w:sz w:val="21"/>
                      <w:szCs w:val="21"/>
                      <w:highlight w:val="none"/>
                      <w:lang w:val="en-US" w:eastAsia="zh-CN"/>
                    </w:rPr>
                  </w:pPr>
                  <w:r>
                    <w:rPr>
                      <w:rFonts w:hint="default" w:ascii="Times New Roman" w:hAnsi="Times New Roman" w:eastAsia="宋体" w:cs="Times New Roman"/>
                      <w:b/>
                      <w:bCs/>
                      <w:caps w:val="0"/>
                      <w:color w:val="auto"/>
                      <w:kern w:val="2"/>
                      <w:sz w:val="21"/>
                      <w:szCs w:val="21"/>
                      <w:highlight w:val="none"/>
                      <w:lang w:val="en-US" w:eastAsia="zh-CN"/>
                    </w:rPr>
                    <w:t>总印刷面积m</w:t>
                  </w:r>
                  <w:r>
                    <w:rPr>
                      <w:rFonts w:hint="default" w:ascii="Times New Roman" w:hAnsi="Times New Roman" w:eastAsia="宋体" w:cs="Times New Roman"/>
                      <w:b/>
                      <w:bCs/>
                      <w:caps w:val="0"/>
                      <w:color w:val="auto"/>
                      <w:kern w:val="2"/>
                      <w:sz w:val="21"/>
                      <w:szCs w:val="21"/>
                      <w:highlight w:val="none"/>
                      <w:vertAlign w:val="superscript"/>
                      <w:lang w:val="en-US" w:eastAsia="zh-CN"/>
                    </w:rPr>
                    <w:t>2</w:t>
                  </w:r>
                </w:p>
              </w:tc>
            </w:tr>
            <w:tr w14:paraId="50814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1023" w:type="dxa"/>
                  <w:vMerge w:val="continue"/>
                  <w:tcBorders>
                    <w:top w:val="single" w:color="auto" w:sz="4" w:space="0"/>
                    <w:left w:val="single" w:color="auto" w:sz="4" w:space="0"/>
                    <w:bottom w:val="single" w:color="auto" w:sz="4" w:space="0"/>
                    <w:right w:val="single" w:color="auto" w:sz="4" w:space="0"/>
                  </w:tcBorders>
                  <w:noWrap w:val="0"/>
                  <w:vAlign w:val="center"/>
                </w:tcPr>
                <w:p w14:paraId="7950AF9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p>
              </w:tc>
              <w:tc>
                <w:tcPr>
                  <w:tcW w:w="904" w:type="dxa"/>
                  <w:tcBorders>
                    <w:top w:val="single" w:color="auto" w:sz="4" w:space="0"/>
                    <w:left w:val="single" w:color="auto" w:sz="4" w:space="0"/>
                    <w:bottom w:val="single" w:color="auto" w:sz="4" w:space="0"/>
                    <w:right w:val="single" w:color="auto" w:sz="4" w:space="0"/>
                  </w:tcBorders>
                  <w:noWrap w:val="0"/>
                  <w:vAlign w:val="center"/>
                </w:tcPr>
                <w:p w14:paraId="498FE07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bCs/>
                      <w:caps w:val="0"/>
                      <w:color w:val="auto"/>
                      <w:kern w:val="2"/>
                      <w:sz w:val="21"/>
                      <w:szCs w:val="21"/>
                      <w:highlight w:val="none"/>
                      <w:lang w:val="en-US" w:eastAsia="zh-CN"/>
                    </w:rPr>
                    <w:t>长m</w:t>
                  </w:r>
                </w:p>
              </w:tc>
              <w:tc>
                <w:tcPr>
                  <w:tcW w:w="907" w:type="dxa"/>
                  <w:tcBorders>
                    <w:top w:val="single" w:color="auto" w:sz="4" w:space="0"/>
                    <w:left w:val="single" w:color="auto" w:sz="4" w:space="0"/>
                    <w:bottom w:val="single" w:color="auto" w:sz="4" w:space="0"/>
                    <w:right w:val="single" w:color="auto" w:sz="4" w:space="0"/>
                  </w:tcBorders>
                  <w:noWrap w:val="0"/>
                  <w:vAlign w:val="center"/>
                </w:tcPr>
                <w:p w14:paraId="64FAA578">
                  <w:pPr>
                    <w:pStyle w:val="60"/>
                    <w:keepNext w:val="0"/>
                    <w:keepLines w:val="0"/>
                    <w:widowControl w:val="0"/>
                    <w:suppressLineNumbers w:val="0"/>
                    <w:autoSpaceDE w:val="0"/>
                    <w:autoSpaceDN/>
                    <w:spacing w:line="240" w:lineRule="auto"/>
                    <w:ind w:left="0" w:firstLine="0" w:firstLineChars="0"/>
                    <w:jc w:val="center"/>
                    <w:rPr>
                      <w:rFonts w:hint="default" w:ascii="Times New Roman" w:hAnsi="Times New Roman" w:eastAsia="宋体" w:cs="Times New Roman"/>
                      <w:b/>
                      <w:bCs/>
                      <w:caps w:val="0"/>
                      <w:color w:val="auto"/>
                      <w:kern w:val="2"/>
                      <w:sz w:val="21"/>
                      <w:szCs w:val="21"/>
                      <w:highlight w:val="none"/>
                      <w:lang w:val="en-US" w:eastAsia="zh-CN"/>
                    </w:rPr>
                  </w:pPr>
                  <w:r>
                    <w:rPr>
                      <w:rFonts w:hint="default" w:ascii="Times New Roman" w:hAnsi="Times New Roman" w:eastAsia="宋体" w:cs="Times New Roman"/>
                      <w:b/>
                      <w:bCs/>
                      <w:caps w:val="0"/>
                      <w:color w:val="auto"/>
                      <w:kern w:val="2"/>
                      <w:sz w:val="21"/>
                      <w:szCs w:val="21"/>
                      <w:highlight w:val="none"/>
                      <w:lang w:val="en-US" w:eastAsia="zh-CN"/>
                    </w:rPr>
                    <w:t>宽m</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5CB6552B">
                  <w:pPr>
                    <w:pStyle w:val="60"/>
                    <w:keepNext w:val="0"/>
                    <w:keepLines w:val="0"/>
                    <w:widowControl w:val="0"/>
                    <w:suppressLineNumbers w:val="0"/>
                    <w:autoSpaceDE w:val="0"/>
                    <w:autoSpaceDN/>
                    <w:spacing w:line="240" w:lineRule="auto"/>
                    <w:ind w:left="0" w:firstLine="0" w:firstLineChars="0"/>
                    <w:jc w:val="center"/>
                    <w:rPr>
                      <w:rFonts w:hint="default" w:ascii="Times New Roman" w:hAnsi="Times New Roman" w:eastAsia="宋体" w:cs="Times New Roman"/>
                      <w:b/>
                      <w:bCs/>
                      <w:caps w:val="0"/>
                      <w:color w:val="auto"/>
                      <w:kern w:val="2"/>
                      <w:sz w:val="21"/>
                      <w:szCs w:val="21"/>
                      <w:highlight w:val="none"/>
                      <w:lang w:val="en-US" w:eastAsia="zh-CN"/>
                    </w:rPr>
                  </w:pPr>
                  <w:r>
                    <w:rPr>
                      <w:rFonts w:hint="default" w:ascii="Times New Roman" w:hAnsi="Times New Roman" w:eastAsia="宋体" w:cs="Times New Roman"/>
                      <w:b/>
                      <w:bCs/>
                      <w:caps w:val="0"/>
                      <w:color w:val="auto"/>
                      <w:kern w:val="2"/>
                      <w:sz w:val="21"/>
                      <w:szCs w:val="21"/>
                      <w:highlight w:val="none"/>
                      <w:lang w:val="en-US" w:eastAsia="zh-CN"/>
                    </w:rPr>
                    <w:t>高m</w:t>
                  </w:r>
                </w:p>
              </w:tc>
              <w:tc>
                <w:tcPr>
                  <w:tcW w:w="1544" w:type="dxa"/>
                  <w:vMerge w:val="continue"/>
                  <w:tcBorders>
                    <w:left w:val="single" w:color="auto" w:sz="4" w:space="0"/>
                    <w:bottom w:val="single" w:color="auto" w:sz="4" w:space="0"/>
                    <w:right w:val="single" w:color="auto" w:sz="4" w:space="0"/>
                  </w:tcBorders>
                  <w:noWrap w:val="0"/>
                  <w:vAlign w:val="center"/>
                </w:tcPr>
                <w:p w14:paraId="5E69A15E">
                  <w:pPr>
                    <w:pStyle w:val="60"/>
                    <w:keepNext w:val="0"/>
                    <w:keepLines w:val="0"/>
                    <w:widowControl w:val="0"/>
                    <w:suppressLineNumbers w:val="0"/>
                    <w:autoSpaceDE w:val="0"/>
                    <w:autoSpaceDN/>
                    <w:spacing w:line="240" w:lineRule="auto"/>
                    <w:ind w:left="0" w:firstLine="0" w:firstLineChars="0"/>
                    <w:jc w:val="center"/>
                    <w:rPr>
                      <w:rFonts w:hint="default" w:ascii="Times New Roman" w:hAnsi="Times New Roman" w:eastAsia="宋体" w:cs="Times New Roman"/>
                      <w:b/>
                      <w:bCs/>
                      <w:caps w:val="0"/>
                      <w:color w:val="auto"/>
                      <w:kern w:val="2"/>
                      <w:sz w:val="21"/>
                      <w:szCs w:val="21"/>
                      <w:highlight w:val="none"/>
                      <w:lang w:val="en-US" w:eastAsia="zh-CN"/>
                    </w:rPr>
                  </w:pPr>
                </w:p>
              </w:tc>
              <w:tc>
                <w:tcPr>
                  <w:tcW w:w="1271" w:type="dxa"/>
                  <w:vMerge w:val="continue"/>
                  <w:tcBorders>
                    <w:top w:val="single" w:color="auto" w:sz="4" w:space="0"/>
                    <w:left w:val="single" w:color="auto" w:sz="4" w:space="0"/>
                    <w:bottom w:val="single" w:color="auto" w:sz="4" w:space="0"/>
                    <w:right w:val="single" w:color="auto" w:sz="4" w:space="0"/>
                  </w:tcBorders>
                  <w:noWrap w:val="0"/>
                  <w:vAlign w:val="center"/>
                </w:tcPr>
                <w:p w14:paraId="2DA5FE8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p>
              </w:tc>
              <w:tc>
                <w:tcPr>
                  <w:tcW w:w="1305" w:type="dxa"/>
                  <w:vMerge w:val="continue"/>
                  <w:tcBorders>
                    <w:left w:val="single" w:color="auto" w:sz="4" w:space="0"/>
                    <w:bottom w:val="single" w:color="auto" w:sz="4" w:space="0"/>
                    <w:right w:val="single" w:color="auto" w:sz="4" w:space="0"/>
                  </w:tcBorders>
                  <w:noWrap w:val="0"/>
                  <w:vAlign w:val="center"/>
                </w:tcPr>
                <w:p w14:paraId="468AB4B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p>
              </w:tc>
            </w:tr>
            <w:tr w14:paraId="004CC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23" w:type="dxa"/>
                  <w:tcBorders>
                    <w:top w:val="single" w:color="auto" w:sz="4" w:space="0"/>
                    <w:left w:val="single" w:color="auto" w:sz="4" w:space="0"/>
                    <w:bottom w:val="single" w:color="auto" w:sz="4" w:space="0"/>
                    <w:right w:val="single" w:color="auto" w:sz="4" w:space="0"/>
                  </w:tcBorders>
                  <w:noWrap w:val="0"/>
                  <w:vAlign w:val="center"/>
                </w:tcPr>
                <w:p w14:paraId="506A8947">
                  <w:pPr>
                    <w:pStyle w:val="60"/>
                    <w:keepNext w:val="0"/>
                    <w:keepLines w:val="0"/>
                    <w:widowControl w:val="0"/>
                    <w:suppressLineNumbers w:val="0"/>
                    <w:autoSpaceDE w:val="0"/>
                    <w:autoSpaceDN/>
                    <w:spacing w:line="240" w:lineRule="auto"/>
                    <w:ind w:left="0" w:firstLine="0" w:firstLineChars="0"/>
                    <w:jc w:val="center"/>
                    <w:rPr>
                      <w:rFonts w:hint="default" w:ascii="Times New Roman" w:hAnsi="Times New Roman" w:eastAsia="宋体" w:cs="Times New Roman"/>
                      <w:b w:val="0"/>
                      <w:bCs w:val="0"/>
                      <w:color w:val="auto"/>
                      <w:kern w:val="2"/>
                      <w:sz w:val="21"/>
                      <w:szCs w:val="21"/>
                      <w:highlight w:val="none"/>
                      <w:lang w:val="en-US" w:eastAsia="zh-CN"/>
                    </w:rPr>
                  </w:pPr>
                  <w:r>
                    <w:rPr>
                      <w:rFonts w:hint="default" w:ascii="Times New Roman" w:hAnsi="Times New Roman" w:eastAsia="宋体" w:cs="Times New Roman"/>
                      <w:b w:val="0"/>
                      <w:bCs w:val="0"/>
                      <w:color w:val="auto"/>
                      <w:kern w:val="2"/>
                      <w:sz w:val="21"/>
                      <w:szCs w:val="21"/>
                      <w:highlight w:val="none"/>
                      <w:lang w:val="en-US" w:eastAsia="zh-CN"/>
                    </w:rPr>
                    <w:t>纸卡</w:t>
                  </w:r>
                </w:p>
              </w:tc>
              <w:tc>
                <w:tcPr>
                  <w:tcW w:w="904" w:type="dxa"/>
                  <w:tcBorders>
                    <w:top w:val="single" w:color="auto" w:sz="4" w:space="0"/>
                    <w:left w:val="single" w:color="auto" w:sz="4" w:space="0"/>
                    <w:bottom w:val="single" w:color="auto" w:sz="4" w:space="0"/>
                    <w:right w:val="single" w:color="auto" w:sz="4" w:space="0"/>
                  </w:tcBorders>
                  <w:noWrap w:val="0"/>
                  <w:vAlign w:val="center"/>
                </w:tcPr>
                <w:p w14:paraId="66C8E95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2"/>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0.15</w:t>
                  </w:r>
                </w:p>
              </w:tc>
              <w:tc>
                <w:tcPr>
                  <w:tcW w:w="907" w:type="dxa"/>
                  <w:tcBorders>
                    <w:top w:val="single" w:color="auto" w:sz="4" w:space="0"/>
                    <w:left w:val="single" w:color="auto" w:sz="4" w:space="0"/>
                    <w:bottom w:val="single" w:color="auto" w:sz="4" w:space="0"/>
                    <w:right w:val="single" w:color="auto" w:sz="4" w:space="0"/>
                  </w:tcBorders>
                  <w:noWrap w:val="0"/>
                  <w:vAlign w:val="center"/>
                </w:tcPr>
                <w:p w14:paraId="5397267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2"/>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0.05</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79CE03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2"/>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544" w:type="dxa"/>
                  <w:tcBorders>
                    <w:top w:val="single" w:color="auto" w:sz="4" w:space="0"/>
                    <w:left w:val="single" w:color="auto" w:sz="4" w:space="0"/>
                    <w:bottom w:val="single" w:color="auto" w:sz="4" w:space="0"/>
                    <w:right w:val="single" w:color="auto" w:sz="4" w:space="0"/>
                  </w:tcBorders>
                  <w:noWrap w:val="0"/>
                  <w:vAlign w:val="center"/>
                </w:tcPr>
                <w:p w14:paraId="562BD6C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2"/>
                      <w:sz w:val="21"/>
                      <w:szCs w:val="21"/>
                      <w:highlight w:val="none"/>
                      <w:lang w:val="en-US" w:eastAsia="zh-CN"/>
                    </w:rPr>
                  </w:pPr>
                  <w:r>
                    <w:rPr>
                      <w:rFonts w:hint="eastAsia" w:cs="Times New Roman"/>
                      <w:b w:val="0"/>
                      <w:bCs w:val="0"/>
                      <w:color w:val="auto"/>
                      <w:kern w:val="2"/>
                      <w:sz w:val="21"/>
                      <w:szCs w:val="21"/>
                      <w:highlight w:val="none"/>
                      <w:lang w:val="en-US" w:eastAsia="zh-CN"/>
                    </w:rPr>
                    <w:t>1</w:t>
                  </w:r>
                  <w:r>
                    <w:rPr>
                      <w:rFonts w:hint="eastAsia" w:ascii="Times New Roman" w:hAnsi="Times New Roman" w:eastAsia="宋体" w:cs="Times New Roman"/>
                      <w:b w:val="0"/>
                      <w:bCs w:val="0"/>
                      <w:color w:val="auto"/>
                      <w:kern w:val="2"/>
                      <w:sz w:val="21"/>
                      <w:szCs w:val="21"/>
                      <w:highlight w:val="none"/>
                      <w:lang w:val="en-US" w:eastAsia="zh-CN"/>
                    </w:rPr>
                    <w:t>000</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3A08491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2"/>
                      <w:sz w:val="21"/>
                      <w:szCs w:val="21"/>
                      <w:highlight w:val="none"/>
                      <w:lang w:val="en-US" w:eastAsia="zh-CN"/>
                    </w:rPr>
                  </w:pPr>
                  <w:r>
                    <w:rPr>
                      <w:rFonts w:hint="eastAsia" w:ascii="Times New Roman" w:hAnsi="Times New Roman" w:eastAsia="宋体" w:cs="Times New Roman"/>
                      <w:b w:val="0"/>
                      <w:bCs w:val="0"/>
                      <w:color w:val="auto"/>
                      <w:kern w:val="2"/>
                      <w:sz w:val="21"/>
                      <w:szCs w:val="21"/>
                      <w:highlight w:val="none"/>
                      <w:lang w:val="en-US" w:eastAsia="zh-CN"/>
                    </w:rPr>
                    <w:t>0.015</w:t>
                  </w:r>
                </w:p>
              </w:tc>
              <w:tc>
                <w:tcPr>
                  <w:tcW w:w="1305" w:type="dxa"/>
                  <w:tcBorders>
                    <w:top w:val="single" w:color="auto" w:sz="4" w:space="0"/>
                    <w:left w:val="single" w:color="auto" w:sz="4" w:space="0"/>
                    <w:bottom w:val="single" w:color="auto" w:sz="4" w:space="0"/>
                    <w:right w:val="single" w:color="auto" w:sz="4" w:space="0"/>
                  </w:tcBorders>
                  <w:noWrap w:val="0"/>
                  <w:vAlign w:val="center"/>
                </w:tcPr>
                <w:p w14:paraId="200630B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2"/>
                      <w:sz w:val="21"/>
                      <w:szCs w:val="21"/>
                      <w:highlight w:val="none"/>
                      <w:lang w:val="en-US" w:eastAsia="zh-CN"/>
                    </w:rPr>
                  </w:pPr>
                  <w:r>
                    <w:rPr>
                      <w:rFonts w:hint="eastAsia" w:cs="Times New Roman"/>
                      <w:i w:val="0"/>
                      <w:iCs w:val="0"/>
                      <w:color w:val="auto"/>
                      <w:kern w:val="0"/>
                      <w:sz w:val="21"/>
                      <w:szCs w:val="21"/>
                      <w:highlight w:val="none"/>
                      <w:u w:val="none"/>
                      <w:lang w:val="en-US" w:eastAsia="zh-CN" w:bidi="ar"/>
                    </w:rPr>
                    <w:t>15</w:t>
                  </w:r>
                  <w:r>
                    <w:rPr>
                      <w:rFonts w:hint="eastAsia" w:ascii="Times New Roman" w:hAnsi="Times New Roman" w:eastAsia="宋体" w:cs="Times New Roman"/>
                      <w:i w:val="0"/>
                      <w:iCs w:val="0"/>
                      <w:color w:val="auto"/>
                      <w:kern w:val="0"/>
                      <w:sz w:val="21"/>
                      <w:szCs w:val="21"/>
                      <w:highlight w:val="none"/>
                      <w:u w:val="none"/>
                      <w:lang w:val="en-US" w:eastAsia="zh-CN" w:bidi="ar"/>
                    </w:rPr>
                    <w:t>0000</w:t>
                  </w:r>
                </w:p>
              </w:tc>
            </w:tr>
            <w:tr w14:paraId="27246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23" w:type="dxa"/>
                  <w:tcBorders>
                    <w:top w:val="single" w:color="auto" w:sz="4" w:space="0"/>
                    <w:left w:val="single" w:color="auto" w:sz="4" w:space="0"/>
                    <w:bottom w:val="single" w:color="auto" w:sz="4" w:space="0"/>
                    <w:right w:val="single" w:color="auto" w:sz="4" w:space="0"/>
                  </w:tcBorders>
                  <w:noWrap w:val="0"/>
                  <w:vAlign w:val="center"/>
                </w:tcPr>
                <w:p w14:paraId="082A9040">
                  <w:pPr>
                    <w:pStyle w:val="60"/>
                    <w:keepNext w:val="0"/>
                    <w:keepLines w:val="0"/>
                    <w:widowControl w:val="0"/>
                    <w:suppressLineNumbers w:val="0"/>
                    <w:autoSpaceDE w:val="0"/>
                    <w:autoSpaceDN/>
                    <w:spacing w:line="240" w:lineRule="auto"/>
                    <w:ind w:left="0" w:firstLine="0" w:firstLineChars="0"/>
                    <w:jc w:val="center"/>
                    <w:rPr>
                      <w:rFonts w:hint="default" w:ascii="Times New Roman" w:hAnsi="Times New Roman" w:eastAsia="宋体" w:cs="Times New Roman"/>
                      <w:b w:val="0"/>
                      <w:bCs w:val="0"/>
                      <w:color w:val="auto"/>
                      <w:kern w:val="2"/>
                      <w:sz w:val="21"/>
                      <w:szCs w:val="21"/>
                      <w:highlight w:val="none"/>
                      <w:lang w:val="en-US" w:eastAsia="zh-CN"/>
                    </w:rPr>
                  </w:pPr>
                  <w:r>
                    <w:rPr>
                      <w:rFonts w:hint="default" w:ascii="Times New Roman" w:hAnsi="Times New Roman" w:eastAsia="宋体" w:cs="Times New Roman"/>
                      <w:b w:val="0"/>
                      <w:bCs w:val="0"/>
                      <w:color w:val="auto"/>
                      <w:kern w:val="2"/>
                      <w:sz w:val="21"/>
                      <w:szCs w:val="21"/>
                      <w:highlight w:val="none"/>
                      <w:lang w:val="en-US" w:eastAsia="zh-CN"/>
                    </w:rPr>
                    <w:t>彩盒</w:t>
                  </w:r>
                </w:p>
              </w:tc>
              <w:tc>
                <w:tcPr>
                  <w:tcW w:w="904" w:type="dxa"/>
                  <w:tcBorders>
                    <w:top w:val="single" w:color="auto" w:sz="4" w:space="0"/>
                    <w:left w:val="single" w:color="auto" w:sz="4" w:space="0"/>
                    <w:bottom w:val="single" w:color="auto" w:sz="4" w:space="0"/>
                    <w:right w:val="single" w:color="auto" w:sz="4" w:space="0"/>
                  </w:tcBorders>
                  <w:noWrap w:val="0"/>
                  <w:vAlign w:val="center"/>
                </w:tcPr>
                <w:p w14:paraId="3F33F82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2"/>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0.2</w:t>
                  </w:r>
                </w:p>
              </w:tc>
              <w:tc>
                <w:tcPr>
                  <w:tcW w:w="907" w:type="dxa"/>
                  <w:tcBorders>
                    <w:top w:val="single" w:color="auto" w:sz="4" w:space="0"/>
                    <w:left w:val="single" w:color="auto" w:sz="4" w:space="0"/>
                    <w:bottom w:val="single" w:color="auto" w:sz="4" w:space="0"/>
                    <w:right w:val="single" w:color="auto" w:sz="4" w:space="0"/>
                  </w:tcBorders>
                  <w:noWrap w:val="0"/>
                  <w:vAlign w:val="center"/>
                </w:tcPr>
                <w:p w14:paraId="37403B1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2"/>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0.15</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283BB60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2"/>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0.1</w:t>
                  </w:r>
                </w:p>
              </w:tc>
              <w:tc>
                <w:tcPr>
                  <w:tcW w:w="1544" w:type="dxa"/>
                  <w:tcBorders>
                    <w:top w:val="single" w:color="auto" w:sz="4" w:space="0"/>
                    <w:left w:val="single" w:color="auto" w:sz="4" w:space="0"/>
                    <w:bottom w:val="single" w:color="auto" w:sz="4" w:space="0"/>
                    <w:right w:val="single" w:color="auto" w:sz="4" w:space="0"/>
                  </w:tcBorders>
                  <w:noWrap w:val="0"/>
                  <w:vAlign w:val="center"/>
                </w:tcPr>
                <w:p w14:paraId="5697699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2"/>
                      <w:sz w:val="21"/>
                      <w:szCs w:val="21"/>
                      <w:highlight w:val="none"/>
                      <w:lang w:val="en-US" w:eastAsia="zh-CN"/>
                    </w:rPr>
                  </w:pPr>
                  <w:r>
                    <w:rPr>
                      <w:rFonts w:hint="eastAsia" w:cs="Times New Roman"/>
                      <w:b w:val="0"/>
                      <w:bCs w:val="0"/>
                      <w:color w:val="auto"/>
                      <w:kern w:val="2"/>
                      <w:sz w:val="21"/>
                      <w:szCs w:val="21"/>
                      <w:highlight w:val="none"/>
                      <w:lang w:val="en-US" w:eastAsia="zh-CN"/>
                    </w:rPr>
                    <w:t>1</w:t>
                  </w:r>
                  <w:r>
                    <w:rPr>
                      <w:rFonts w:hint="eastAsia" w:ascii="Times New Roman" w:hAnsi="Times New Roman" w:eastAsia="宋体" w:cs="Times New Roman"/>
                      <w:b w:val="0"/>
                      <w:bCs w:val="0"/>
                      <w:color w:val="auto"/>
                      <w:kern w:val="2"/>
                      <w:sz w:val="21"/>
                      <w:szCs w:val="21"/>
                      <w:highlight w:val="none"/>
                      <w:lang w:val="en-US" w:eastAsia="zh-CN"/>
                    </w:rPr>
                    <w:t>00</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267F117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2"/>
                      <w:sz w:val="21"/>
                      <w:szCs w:val="21"/>
                      <w:highlight w:val="none"/>
                      <w:lang w:val="en-US" w:eastAsia="zh-CN"/>
                    </w:rPr>
                  </w:pPr>
                  <w:r>
                    <w:rPr>
                      <w:rFonts w:hint="eastAsia" w:ascii="Times New Roman" w:hAnsi="Times New Roman" w:eastAsia="宋体" w:cs="Times New Roman"/>
                      <w:b w:val="0"/>
                      <w:bCs w:val="0"/>
                      <w:color w:val="auto"/>
                      <w:kern w:val="2"/>
                      <w:sz w:val="21"/>
                      <w:szCs w:val="21"/>
                      <w:highlight w:val="none"/>
                      <w:lang w:val="en-US" w:eastAsia="zh-CN"/>
                    </w:rPr>
                    <w:t>0.13</w:t>
                  </w:r>
                </w:p>
              </w:tc>
              <w:tc>
                <w:tcPr>
                  <w:tcW w:w="1305" w:type="dxa"/>
                  <w:tcBorders>
                    <w:top w:val="single" w:color="auto" w:sz="4" w:space="0"/>
                    <w:left w:val="single" w:color="auto" w:sz="4" w:space="0"/>
                    <w:bottom w:val="single" w:color="auto" w:sz="4" w:space="0"/>
                    <w:right w:val="single" w:color="auto" w:sz="4" w:space="0"/>
                  </w:tcBorders>
                  <w:noWrap w:val="0"/>
                  <w:vAlign w:val="center"/>
                </w:tcPr>
                <w:p w14:paraId="2C8A78B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2"/>
                      <w:sz w:val="21"/>
                      <w:szCs w:val="21"/>
                      <w:highlight w:val="none"/>
                      <w:lang w:val="en-US" w:eastAsia="zh-CN"/>
                    </w:rPr>
                  </w:pPr>
                  <w:r>
                    <w:rPr>
                      <w:rFonts w:hint="eastAsia" w:cs="Times New Roman"/>
                      <w:i w:val="0"/>
                      <w:iCs w:val="0"/>
                      <w:color w:val="auto"/>
                      <w:kern w:val="0"/>
                      <w:sz w:val="21"/>
                      <w:szCs w:val="21"/>
                      <w:highlight w:val="none"/>
                      <w:u w:val="none"/>
                      <w:lang w:val="en-US" w:eastAsia="zh-CN" w:bidi="ar"/>
                    </w:rPr>
                    <w:t>13</w:t>
                  </w:r>
                  <w:r>
                    <w:rPr>
                      <w:rFonts w:hint="eastAsia" w:ascii="Times New Roman" w:hAnsi="Times New Roman" w:eastAsia="宋体" w:cs="Times New Roman"/>
                      <w:i w:val="0"/>
                      <w:iCs w:val="0"/>
                      <w:color w:val="auto"/>
                      <w:kern w:val="0"/>
                      <w:sz w:val="21"/>
                      <w:szCs w:val="21"/>
                      <w:highlight w:val="none"/>
                      <w:u w:val="none"/>
                      <w:lang w:val="en-US" w:eastAsia="zh-CN" w:bidi="ar"/>
                    </w:rPr>
                    <w:t>0000</w:t>
                  </w:r>
                </w:p>
              </w:tc>
            </w:tr>
            <w:tr w14:paraId="4D258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7872" w:type="dxa"/>
                  <w:gridSpan w:val="7"/>
                  <w:tcBorders>
                    <w:top w:val="single" w:color="auto" w:sz="4" w:space="0"/>
                    <w:left w:val="single" w:color="auto" w:sz="4" w:space="0"/>
                    <w:bottom w:val="single" w:color="auto" w:sz="4" w:space="0"/>
                    <w:right w:val="single" w:color="auto" w:sz="4" w:space="0"/>
                  </w:tcBorders>
                  <w:noWrap w:val="0"/>
                  <w:vAlign w:val="center"/>
                </w:tcPr>
                <w:p w14:paraId="4D9DB9E7">
                  <w:pPr>
                    <w:pStyle w:val="60"/>
                    <w:keepNext w:val="0"/>
                    <w:keepLines w:val="0"/>
                    <w:widowControl w:val="0"/>
                    <w:suppressLineNumbers w:val="0"/>
                    <w:autoSpaceDE w:val="0"/>
                    <w:autoSpaceDN/>
                    <w:spacing w:line="240" w:lineRule="auto"/>
                    <w:ind w:left="0" w:firstLine="0" w:firstLineChars="0"/>
                    <w:jc w:val="left"/>
                    <w:rPr>
                      <w:rFonts w:hint="default" w:ascii="Times New Roman" w:hAnsi="Times New Roman" w:eastAsia="宋体" w:cs="Times New Roman"/>
                      <w:b w:val="0"/>
                      <w:bCs w:val="0"/>
                      <w:color w:val="auto"/>
                      <w:kern w:val="2"/>
                      <w:sz w:val="21"/>
                      <w:szCs w:val="21"/>
                      <w:highlight w:val="none"/>
                      <w:vertAlign w:val="baseline"/>
                      <w:lang w:val="en-US" w:eastAsia="zh-CN"/>
                    </w:rPr>
                  </w:pPr>
                  <w:r>
                    <w:rPr>
                      <w:rFonts w:hint="default" w:ascii="Times New Roman" w:hAnsi="Times New Roman" w:eastAsia="宋体" w:cs="Times New Roman"/>
                      <w:b w:val="0"/>
                      <w:bCs w:val="0"/>
                      <w:color w:val="auto"/>
                      <w:kern w:val="2"/>
                      <w:sz w:val="21"/>
                      <w:szCs w:val="21"/>
                      <w:highlight w:val="none"/>
                      <w:lang w:val="en-US" w:eastAsia="zh-CN"/>
                    </w:rPr>
                    <w:t>注：纸卡印刷正反2个面，</w:t>
                  </w:r>
                  <w:r>
                    <w:rPr>
                      <w:rFonts w:hint="default" w:ascii="Times New Roman" w:hAnsi="Times New Roman" w:eastAsia="宋体" w:cs="Times New Roman"/>
                      <w:b w:val="0"/>
                      <w:bCs w:val="0"/>
                      <w:color w:val="auto"/>
                      <w:kern w:val="2"/>
                      <w:sz w:val="21"/>
                      <w:szCs w:val="21"/>
                      <w:highlight w:val="none"/>
                      <w:vertAlign w:val="baseline"/>
                      <w:lang w:val="en-US" w:eastAsia="zh-CN"/>
                    </w:rPr>
                    <w:t>彩盒印刷</w:t>
                  </w:r>
                  <w:r>
                    <w:rPr>
                      <w:rFonts w:hint="eastAsia" w:cs="Times New Roman"/>
                      <w:b w:val="0"/>
                      <w:bCs w:val="0"/>
                      <w:color w:val="auto"/>
                      <w:kern w:val="2"/>
                      <w:sz w:val="21"/>
                      <w:szCs w:val="21"/>
                      <w:highlight w:val="none"/>
                      <w:vertAlign w:val="baseline"/>
                      <w:lang w:val="en-US" w:eastAsia="zh-CN"/>
                    </w:rPr>
                    <w:t>6</w:t>
                  </w:r>
                  <w:r>
                    <w:rPr>
                      <w:rFonts w:hint="default" w:ascii="Times New Roman" w:hAnsi="Times New Roman" w:eastAsia="宋体" w:cs="Times New Roman"/>
                      <w:b w:val="0"/>
                      <w:bCs w:val="0"/>
                      <w:color w:val="auto"/>
                      <w:kern w:val="2"/>
                      <w:sz w:val="21"/>
                      <w:szCs w:val="21"/>
                      <w:highlight w:val="none"/>
                      <w:vertAlign w:val="baseline"/>
                      <w:lang w:val="en-US" w:eastAsia="zh-CN"/>
                    </w:rPr>
                    <w:t>个面</w:t>
                  </w:r>
                  <w:r>
                    <w:rPr>
                      <w:rFonts w:hint="eastAsia" w:cs="Times New Roman"/>
                      <w:b w:val="0"/>
                      <w:bCs w:val="0"/>
                      <w:color w:val="auto"/>
                      <w:kern w:val="2"/>
                      <w:sz w:val="21"/>
                      <w:szCs w:val="21"/>
                      <w:highlight w:val="none"/>
                      <w:vertAlign w:val="baseline"/>
                      <w:lang w:val="en-US" w:eastAsia="zh-CN"/>
                    </w:rPr>
                    <w:t>；其中10%的纸卡需要上光，上光面积占表面积100%。</w:t>
                  </w:r>
                </w:p>
              </w:tc>
            </w:tr>
          </w:tbl>
          <w:p w14:paraId="6EFC53C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2" w:firstLineChars="200"/>
              <w:textAlignment w:val="auto"/>
              <w:rPr>
                <w:rFonts w:hint="eastAsia" w:ascii="Times New Roman" w:hAnsi="Times New Roman" w:eastAsia="宋体" w:cs="Times New Roman"/>
                <w:b/>
                <w:bCs/>
                <w:color w:val="auto"/>
                <w:sz w:val="24"/>
                <w:szCs w:val="32"/>
                <w:highlight w:val="none"/>
                <w:lang w:val="en-US" w:eastAsia="zh-CN"/>
              </w:rPr>
            </w:pPr>
            <w:r>
              <w:rPr>
                <w:rFonts w:hint="eastAsia" w:ascii="Times New Roman" w:hAnsi="Times New Roman" w:eastAsia="宋体" w:cs="Times New Roman"/>
                <w:b/>
                <w:bCs/>
                <w:color w:val="auto"/>
                <w:sz w:val="24"/>
                <w:szCs w:val="32"/>
                <w:highlight w:val="none"/>
                <w:lang w:val="en-US" w:eastAsia="zh-CN"/>
              </w:rPr>
              <w:t>印刷面积计算过程：</w:t>
            </w:r>
          </w:p>
          <w:p w14:paraId="0E29E777">
            <w:pPr>
              <w:pStyle w:val="18"/>
              <w:keepNext w:val="0"/>
              <w:keepLines w:val="0"/>
              <w:suppressLineNumbers w:val="0"/>
              <w:spacing w:beforeAutospacing="0" w:afterAutospacing="0"/>
              <w:ind w:left="0" w:firstLine="480"/>
              <w:rPr>
                <w:rFonts w:hint="eastAsia" w:ascii="Times New Roman" w:hAnsi="Times New Roman" w:eastAsia="宋体" w:cs="Times New Roman"/>
                <w:b/>
                <w:bCs/>
                <w:color w:val="auto"/>
                <w:sz w:val="24"/>
                <w:szCs w:val="32"/>
                <w:highlight w:val="none"/>
                <w:lang w:val="en-US" w:eastAsia="zh-CN"/>
              </w:rPr>
            </w:pPr>
            <w:r>
              <w:rPr>
                <w:rFonts w:hint="default" w:ascii="Times New Roman" w:hAnsi="Times New Roman" w:eastAsia="宋体" w:cs="Times New Roman"/>
                <w:b/>
                <w:bCs/>
                <w:color w:val="auto"/>
                <w:sz w:val="24"/>
                <w:szCs w:val="32"/>
                <w:highlight w:val="none"/>
                <w:lang w:val="en-US" w:eastAsia="zh-CN"/>
              </w:rPr>
              <w:t>①</w:t>
            </w:r>
            <w:r>
              <w:rPr>
                <w:rFonts w:hint="eastAsia" w:ascii="Times New Roman" w:hAnsi="Times New Roman" w:eastAsia="宋体" w:cs="Times New Roman"/>
                <w:b/>
                <w:bCs/>
                <w:color w:val="auto"/>
                <w:sz w:val="24"/>
                <w:szCs w:val="32"/>
                <w:highlight w:val="none"/>
                <w:lang w:val="en-US" w:eastAsia="zh-CN"/>
              </w:rPr>
              <w:t>纸卡印刷面积</w:t>
            </w:r>
          </w:p>
          <w:p w14:paraId="741340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Times New Roman" w:hAnsi="Times New Roman" w:cs="Times New Roman"/>
                <w:color w:val="auto"/>
                <w:sz w:val="24"/>
                <w:szCs w:val="24"/>
                <w:highlight w:val="none"/>
                <w:vertAlign w:val="superscript"/>
                <w:lang w:val="en-US" w:eastAsia="zh-CN"/>
              </w:rPr>
            </w:pPr>
            <w:r>
              <w:rPr>
                <w:rFonts w:hint="eastAsia" w:ascii="Times New Roman" w:hAnsi="Times New Roman" w:cs="Times New Roman"/>
                <w:color w:val="auto"/>
                <w:sz w:val="24"/>
                <w:szCs w:val="24"/>
                <w:highlight w:val="none"/>
                <w:lang w:val="en-US" w:eastAsia="zh-CN"/>
              </w:rPr>
              <w:t xml:space="preserve">     正反印刷2个面，印刷面积占比100%，纸卡平均尺寸为长0.15m，宽0.05m，单张纸卡印刷面积为0.15m×0.05m×2=0.015m</w:t>
            </w:r>
            <w:r>
              <w:rPr>
                <w:rFonts w:hint="eastAsia" w:ascii="Times New Roman" w:hAnsi="Times New Roman" w:cs="Times New Roman"/>
                <w:color w:val="auto"/>
                <w:sz w:val="24"/>
                <w:szCs w:val="24"/>
                <w:highlight w:val="none"/>
                <w:vertAlign w:val="superscript"/>
                <w:lang w:val="en-US" w:eastAsia="zh-CN"/>
              </w:rPr>
              <w:t>2</w:t>
            </w:r>
            <w:r>
              <w:rPr>
                <w:rFonts w:hint="eastAsia" w:ascii="Times New Roman" w:hAnsi="Times New Roman" w:cs="Times New Roman"/>
                <w:color w:val="auto"/>
                <w:sz w:val="24"/>
                <w:szCs w:val="24"/>
                <w:highlight w:val="none"/>
                <w:vertAlign w:val="baseline"/>
                <w:lang w:val="en-US" w:eastAsia="zh-CN"/>
              </w:rPr>
              <w:t>。年产</w:t>
            </w:r>
            <w:r>
              <w:rPr>
                <w:rFonts w:hint="eastAsia" w:cs="Times New Roman"/>
                <w:color w:val="auto"/>
                <w:sz w:val="24"/>
                <w:szCs w:val="24"/>
                <w:highlight w:val="none"/>
                <w:vertAlign w:val="baseline"/>
                <w:lang w:val="en-US" w:eastAsia="zh-CN"/>
              </w:rPr>
              <w:t>1</w:t>
            </w:r>
            <w:r>
              <w:rPr>
                <w:rFonts w:hint="eastAsia" w:ascii="Times New Roman" w:hAnsi="Times New Roman" w:cs="Times New Roman"/>
                <w:color w:val="auto"/>
                <w:sz w:val="24"/>
                <w:szCs w:val="24"/>
                <w:highlight w:val="none"/>
                <w:vertAlign w:val="baseline"/>
                <w:lang w:val="en-US" w:eastAsia="zh-CN"/>
              </w:rPr>
              <w:t>000万张，则总印刷面积为0.015m</w:t>
            </w:r>
            <w:r>
              <w:rPr>
                <w:rFonts w:hint="eastAsia" w:ascii="Times New Roman" w:hAnsi="Times New Roman" w:cs="Times New Roman"/>
                <w:color w:val="auto"/>
                <w:sz w:val="24"/>
                <w:szCs w:val="24"/>
                <w:highlight w:val="none"/>
                <w:vertAlign w:val="superscript"/>
                <w:lang w:val="en-US" w:eastAsia="zh-CN"/>
              </w:rPr>
              <w:t>2</w:t>
            </w:r>
            <w:r>
              <w:rPr>
                <w:rFonts w:hint="eastAsia" w:ascii="Times New Roman" w:hAnsi="Times New Roman" w:cs="Times New Roman"/>
                <w:color w:val="auto"/>
                <w:sz w:val="24"/>
                <w:szCs w:val="24"/>
                <w:highlight w:val="none"/>
                <w:vertAlign w:val="baseline"/>
                <w:lang w:val="en-US" w:eastAsia="zh-CN"/>
              </w:rPr>
              <w:t>×</w:t>
            </w:r>
            <w:r>
              <w:rPr>
                <w:rFonts w:hint="eastAsia" w:cs="Times New Roman"/>
                <w:color w:val="auto"/>
                <w:sz w:val="24"/>
                <w:szCs w:val="24"/>
                <w:highlight w:val="none"/>
                <w:vertAlign w:val="baseline"/>
                <w:lang w:val="en-US" w:eastAsia="zh-CN"/>
              </w:rPr>
              <w:t>1</w:t>
            </w:r>
            <w:r>
              <w:rPr>
                <w:rFonts w:hint="eastAsia" w:ascii="Times New Roman" w:hAnsi="Times New Roman" w:cs="Times New Roman"/>
                <w:color w:val="auto"/>
                <w:sz w:val="24"/>
                <w:szCs w:val="24"/>
                <w:highlight w:val="none"/>
                <w:vertAlign w:val="baseline"/>
                <w:lang w:val="en-US" w:eastAsia="zh-CN"/>
              </w:rPr>
              <w:t>0000000张=</w:t>
            </w:r>
            <w:r>
              <w:rPr>
                <w:rFonts w:hint="eastAsia" w:cs="Times New Roman"/>
                <w:color w:val="auto"/>
                <w:sz w:val="24"/>
                <w:szCs w:val="24"/>
                <w:highlight w:val="none"/>
                <w:vertAlign w:val="baseline"/>
                <w:lang w:val="en-US" w:eastAsia="zh-CN"/>
              </w:rPr>
              <w:t>15</w:t>
            </w:r>
            <w:r>
              <w:rPr>
                <w:rFonts w:hint="eastAsia" w:ascii="Times New Roman" w:hAnsi="Times New Roman" w:cs="Times New Roman"/>
                <w:color w:val="auto"/>
                <w:sz w:val="24"/>
                <w:szCs w:val="24"/>
                <w:highlight w:val="none"/>
                <w:vertAlign w:val="baseline"/>
                <w:lang w:val="en-US" w:eastAsia="zh-CN"/>
              </w:rPr>
              <w:t>0000m</w:t>
            </w:r>
            <w:r>
              <w:rPr>
                <w:rFonts w:hint="eastAsia" w:ascii="Times New Roman" w:hAnsi="Times New Roman" w:cs="Times New Roman"/>
                <w:color w:val="auto"/>
                <w:sz w:val="24"/>
                <w:szCs w:val="24"/>
                <w:highlight w:val="none"/>
                <w:vertAlign w:val="superscript"/>
                <w:lang w:val="en-US" w:eastAsia="zh-CN"/>
              </w:rPr>
              <w:t>2</w:t>
            </w:r>
          </w:p>
          <w:p w14:paraId="55FA9731">
            <w:pPr>
              <w:pStyle w:val="18"/>
              <w:keepNext w:val="0"/>
              <w:keepLines w:val="0"/>
              <w:suppressLineNumbers w:val="0"/>
              <w:spacing w:beforeAutospacing="0" w:afterAutospacing="0"/>
              <w:ind w:left="0"/>
              <w:rPr>
                <w:rFonts w:hint="eastAsia" w:ascii="Calibri" w:hAnsi="Calibri" w:eastAsia="宋体" w:cs="Calibri"/>
                <w:b/>
                <w:bCs/>
                <w:color w:val="auto"/>
                <w:sz w:val="24"/>
                <w:szCs w:val="32"/>
                <w:highlight w:val="none"/>
                <w:lang w:val="en-US" w:eastAsia="zh-CN"/>
              </w:rPr>
            </w:pPr>
            <w:r>
              <w:rPr>
                <w:rFonts w:hint="eastAsia" w:ascii="Times New Roman" w:hAnsi="Times New Roman" w:cs="Times New Roman"/>
                <w:color w:val="auto"/>
                <w:sz w:val="24"/>
                <w:szCs w:val="24"/>
                <w:highlight w:val="none"/>
                <w:vertAlign w:val="superscript"/>
                <w:lang w:val="en-US" w:eastAsia="zh-CN"/>
              </w:rPr>
              <w:t xml:space="preserve">      </w:t>
            </w:r>
            <w:r>
              <w:rPr>
                <w:rFonts w:hint="default" w:ascii="Times New Roman" w:hAnsi="Times New Roman" w:eastAsia="宋体" w:cs="Times New Roman"/>
                <w:b/>
                <w:bCs/>
                <w:color w:val="auto"/>
                <w:sz w:val="24"/>
                <w:szCs w:val="32"/>
                <w:highlight w:val="none"/>
                <w:lang w:val="en-US" w:eastAsia="zh-CN"/>
              </w:rPr>
              <w:t>②</w:t>
            </w:r>
            <w:r>
              <w:rPr>
                <w:rFonts w:hint="eastAsia" w:ascii="Calibri" w:hAnsi="Calibri" w:eastAsia="宋体" w:cs="Calibri"/>
                <w:b/>
                <w:bCs/>
                <w:color w:val="auto"/>
                <w:sz w:val="24"/>
                <w:szCs w:val="32"/>
                <w:highlight w:val="none"/>
                <w:lang w:val="en-US" w:eastAsia="zh-CN"/>
              </w:rPr>
              <w:t>纸盒印刷面积</w:t>
            </w:r>
          </w:p>
          <w:p w14:paraId="5C2EB3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Times New Roman" w:hAnsi="Times New Roman" w:eastAsia="宋体" w:cs="Times New Roman"/>
                <w:b w:val="0"/>
                <w:bCs w:val="0"/>
                <w:color w:val="auto"/>
                <w:sz w:val="24"/>
                <w:szCs w:val="32"/>
                <w:highlight w:val="none"/>
                <w:vertAlign w:val="superscript"/>
                <w:lang w:val="en-US" w:eastAsia="zh-CN"/>
              </w:rPr>
            </w:pPr>
            <w:r>
              <w:rPr>
                <w:rFonts w:hint="default" w:ascii="Times New Roman" w:hAnsi="Times New Roman" w:eastAsia="宋体" w:cs="Times New Roman"/>
                <w:b w:val="0"/>
                <w:bCs w:val="0"/>
                <w:color w:val="auto"/>
                <w:sz w:val="24"/>
                <w:szCs w:val="32"/>
                <w:highlight w:val="none"/>
                <w:lang w:val="en-US" w:eastAsia="zh-CN"/>
              </w:rPr>
              <w:t>该纸盒为彩盒，需印刷6个面，印刷面积占比100%，纸盒平均尺寸为长0.2m，宽0.15m，高0.1m。单个纸盒印刷面积为（0.2×0.15+0.2×0.1+0.15×0.1）×2=（0.03+0.02+0.015）×2=0.13</w:t>
            </w:r>
            <w:r>
              <w:rPr>
                <w:rFonts w:hint="eastAsia" w:ascii="Times New Roman" w:hAnsi="Times New Roman" w:eastAsia="宋体" w:cs="Times New Roman"/>
                <w:b w:val="0"/>
                <w:bCs w:val="0"/>
                <w:color w:val="auto"/>
                <w:sz w:val="24"/>
                <w:szCs w:val="32"/>
                <w:highlight w:val="none"/>
                <w:lang w:val="en-US" w:eastAsia="zh-CN"/>
              </w:rPr>
              <w:t>m</w:t>
            </w:r>
            <w:r>
              <w:rPr>
                <w:rFonts w:hint="eastAsia" w:ascii="Times New Roman" w:hAnsi="Times New Roman" w:eastAsia="宋体" w:cs="Times New Roman"/>
                <w:b w:val="0"/>
                <w:bCs w:val="0"/>
                <w:color w:val="auto"/>
                <w:sz w:val="24"/>
                <w:szCs w:val="32"/>
                <w:highlight w:val="none"/>
                <w:vertAlign w:val="superscript"/>
                <w:lang w:val="en-US" w:eastAsia="zh-CN"/>
              </w:rPr>
              <w:t>2</w:t>
            </w:r>
            <w:r>
              <w:rPr>
                <w:rFonts w:hint="eastAsia" w:ascii="Times New Roman" w:hAnsi="Times New Roman" w:eastAsia="宋体" w:cs="Times New Roman"/>
                <w:b w:val="0"/>
                <w:bCs w:val="0"/>
                <w:color w:val="auto"/>
                <w:sz w:val="24"/>
                <w:szCs w:val="32"/>
                <w:highlight w:val="none"/>
                <w:vertAlign w:val="baseline"/>
                <w:lang w:val="en-US" w:eastAsia="zh-CN"/>
              </w:rPr>
              <w:t>。年产</w:t>
            </w:r>
            <w:r>
              <w:rPr>
                <w:rFonts w:hint="eastAsia" w:cs="Times New Roman"/>
                <w:b w:val="0"/>
                <w:bCs w:val="0"/>
                <w:color w:val="auto"/>
                <w:sz w:val="24"/>
                <w:szCs w:val="32"/>
                <w:highlight w:val="none"/>
                <w:vertAlign w:val="baseline"/>
                <w:lang w:val="en-US" w:eastAsia="zh-CN"/>
              </w:rPr>
              <w:t>1</w:t>
            </w:r>
            <w:r>
              <w:rPr>
                <w:rFonts w:hint="eastAsia" w:ascii="Times New Roman" w:hAnsi="Times New Roman" w:eastAsia="宋体" w:cs="Times New Roman"/>
                <w:b w:val="0"/>
                <w:bCs w:val="0"/>
                <w:color w:val="auto"/>
                <w:sz w:val="24"/>
                <w:szCs w:val="32"/>
                <w:highlight w:val="none"/>
                <w:vertAlign w:val="baseline"/>
                <w:lang w:val="en-US" w:eastAsia="zh-CN"/>
              </w:rPr>
              <w:t>00万个，则总印刷面积为0.13m</w:t>
            </w:r>
            <w:r>
              <w:rPr>
                <w:rFonts w:hint="eastAsia" w:ascii="Times New Roman" w:hAnsi="Times New Roman" w:eastAsia="宋体" w:cs="Times New Roman"/>
                <w:b w:val="0"/>
                <w:bCs w:val="0"/>
                <w:color w:val="auto"/>
                <w:sz w:val="24"/>
                <w:szCs w:val="32"/>
                <w:highlight w:val="none"/>
                <w:vertAlign w:val="superscript"/>
                <w:lang w:val="en-US" w:eastAsia="zh-CN"/>
              </w:rPr>
              <w:t>2</w:t>
            </w:r>
            <w:r>
              <w:rPr>
                <w:rFonts w:hint="eastAsia" w:ascii="Times New Roman" w:hAnsi="Times New Roman" w:eastAsia="宋体" w:cs="Times New Roman"/>
                <w:b w:val="0"/>
                <w:bCs w:val="0"/>
                <w:color w:val="auto"/>
                <w:sz w:val="24"/>
                <w:szCs w:val="32"/>
                <w:highlight w:val="none"/>
                <w:vertAlign w:val="baseline"/>
                <w:lang w:val="en-US" w:eastAsia="zh-CN"/>
              </w:rPr>
              <w:t>×</w:t>
            </w:r>
            <w:r>
              <w:rPr>
                <w:rFonts w:hint="eastAsia" w:cs="Times New Roman"/>
                <w:b w:val="0"/>
                <w:bCs w:val="0"/>
                <w:color w:val="auto"/>
                <w:sz w:val="24"/>
                <w:szCs w:val="32"/>
                <w:highlight w:val="none"/>
                <w:vertAlign w:val="baseline"/>
                <w:lang w:val="en-US" w:eastAsia="zh-CN"/>
              </w:rPr>
              <w:t>1</w:t>
            </w:r>
            <w:r>
              <w:rPr>
                <w:rFonts w:hint="eastAsia" w:ascii="Times New Roman" w:hAnsi="Times New Roman" w:eastAsia="宋体" w:cs="Times New Roman"/>
                <w:b w:val="0"/>
                <w:bCs w:val="0"/>
                <w:color w:val="auto"/>
                <w:sz w:val="24"/>
                <w:szCs w:val="32"/>
                <w:highlight w:val="none"/>
                <w:vertAlign w:val="baseline"/>
                <w:lang w:val="en-US" w:eastAsia="zh-CN"/>
              </w:rPr>
              <w:t>000000个=</w:t>
            </w:r>
            <w:r>
              <w:rPr>
                <w:rFonts w:hint="eastAsia" w:cs="Times New Roman"/>
                <w:b w:val="0"/>
                <w:bCs w:val="0"/>
                <w:color w:val="auto"/>
                <w:sz w:val="24"/>
                <w:szCs w:val="32"/>
                <w:highlight w:val="none"/>
                <w:vertAlign w:val="baseline"/>
                <w:lang w:val="en-US" w:eastAsia="zh-CN"/>
              </w:rPr>
              <w:t>13</w:t>
            </w:r>
            <w:r>
              <w:rPr>
                <w:rFonts w:hint="eastAsia" w:ascii="Times New Roman" w:hAnsi="Times New Roman" w:eastAsia="宋体" w:cs="Times New Roman"/>
                <w:b w:val="0"/>
                <w:bCs w:val="0"/>
                <w:color w:val="auto"/>
                <w:sz w:val="24"/>
                <w:szCs w:val="32"/>
                <w:highlight w:val="none"/>
                <w:vertAlign w:val="baseline"/>
                <w:lang w:val="en-US" w:eastAsia="zh-CN"/>
              </w:rPr>
              <w:t>0000m</w:t>
            </w:r>
            <w:r>
              <w:rPr>
                <w:rFonts w:hint="eastAsia" w:ascii="Times New Roman" w:hAnsi="Times New Roman" w:eastAsia="宋体" w:cs="Times New Roman"/>
                <w:b w:val="0"/>
                <w:bCs w:val="0"/>
                <w:color w:val="auto"/>
                <w:sz w:val="24"/>
                <w:szCs w:val="32"/>
                <w:highlight w:val="none"/>
                <w:vertAlign w:val="superscript"/>
                <w:lang w:val="en-US" w:eastAsia="zh-CN"/>
              </w:rPr>
              <w:t>2</w:t>
            </w:r>
          </w:p>
          <w:p w14:paraId="489E503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32"/>
                <w:highlight w:val="none"/>
                <w:lang w:val="en-US" w:eastAsia="zh-CN"/>
              </w:rPr>
            </w:pPr>
            <w:r>
              <w:rPr>
                <w:rFonts w:hint="eastAsia" w:ascii="Times New Roman" w:hAnsi="Times New Roman" w:eastAsia="宋体" w:cs="Times New Roman"/>
                <w:b/>
                <w:bCs/>
                <w:color w:val="auto"/>
                <w:sz w:val="24"/>
                <w:szCs w:val="32"/>
                <w:highlight w:val="none"/>
                <w:lang w:val="en-US" w:eastAsia="zh-CN"/>
              </w:rPr>
              <w:t>3、主要原辅料及使用量</w:t>
            </w:r>
          </w:p>
          <w:p w14:paraId="3D977E05">
            <w:pPr>
              <w:pStyle w:val="80"/>
              <w:keepNext w:val="0"/>
              <w:keepLines w:val="0"/>
              <w:suppressLineNumbers w:val="0"/>
              <w:spacing w:before="0" w:beforeAutospacing="0" w:after="0" w:afterAutospacing="0"/>
              <w:ind w:left="0" w:right="0"/>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表</w:t>
            </w:r>
            <w:r>
              <w:rPr>
                <w:rFonts w:hint="eastAsia" w:ascii="Times New Roman" w:cs="Times New Roman"/>
                <w:b/>
                <w:bCs/>
                <w:color w:val="auto"/>
                <w:highlight w:val="none"/>
                <w:lang w:val="en-US" w:eastAsia="zh-CN"/>
              </w:rPr>
              <w:t>2-5</w:t>
            </w:r>
            <w:r>
              <w:rPr>
                <w:rFonts w:hint="eastAsia" w:ascii="Times New Roman" w:eastAsia="宋体" w:cs="Times New Roman"/>
                <w:b/>
                <w:bCs/>
                <w:color w:val="auto"/>
                <w:highlight w:val="none"/>
                <w:lang w:val="en-US" w:eastAsia="zh-CN"/>
              </w:rPr>
              <w:t xml:space="preserve"> </w:t>
            </w:r>
            <w:r>
              <w:rPr>
                <w:rFonts w:hint="default" w:ascii="Times New Roman" w:hAnsi="Times New Roman" w:eastAsia="宋体" w:cs="Times New Roman"/>
                <w:b/>
                <w:bCs/>
                <w:color w:val="auto"/>
                <w:highlight w:val="none"/>
              </w:rPr>
              <w:t>主要原辅材料能耗表</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
              <w:gridCol w:w="1612"/>
              <w:gridCol w:w="1017"/>
              <w:gridCol w:w="1643"/>
              <w:gridCol w:w="1693"/>
              <w:gridCol w:w="1220"/>
            </w:tblGrid>
            <w:tr w14:paraId="6F986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687" w:type="dxa"/>
                  <w:noWrap w:val="0"/>
                  <w:vAlign w:val="center"/>
                </w:tcPr>
                <w:p w14:paraId="00822D24">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序号</w:t>
                  </w:r>
                </w:p>
              </w:tc>
              <w:tc>
                <w:tcPr>
                  <w:tcW w:w="1612" w:type="dxa"/>
                  <w:noWrap w:val="0"/>
                  <w:vAlign w:val="center"/>
                </w:tcPr>
                <w:p w14:paraId="7EAB4134">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原辅料名称</w:t>
                  </w:r>
                </w:p>
              </w:tc>
              <w:tc>
                <w:tcPr>
                  <w:tcW w:w="1017" w:type="dxa"/>
                  <w:noWrap w:val="0"/>
                  <w:vAlign w:val="center"/>
                </w:tcPr>
                <w:p w14:paraId="4F1DD25E">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年用量（t）</w:t>
                  </w:r>
                </w:p>
              </w:tc>
              <w:tc>
                <w:tcPr>
                  <w:tcW w:w="1643" w:type="dxa"/>
                  <w:noWrap w:val="0"/>
                  <w:vAlign w:val="center"/>
                </w:tcPr>
                <w:p w14:paraId="1BBEF397">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最大存储量</w:t>
                  </w:r>
                </w:p>
                <w:p w14:paraId="1F54F083">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highlight w:val="none"/>
                      <w:lang w:val="en-US" w:eastAsia="zh-CN"/>
                    </w:rPr>
                  </w:pPr>
                  <w:r>
                    <w:rPr>
                      <w:rFonts w:hint="default" w:ascii="Times New Roman" w:hAnsi="Times New Roman" w:eastAsia="宋体" w:cs="Times New Roman"/>
                      <w:b/>
                      <w:color w:val="auto"/>
                      <w:szCs w:val="21"/>
                      <w:highlight w:val="none"/>
                    </w:rPr>
                    <w:t>（t）</w:t>
                  </w:r>
                </w:p>
              </w:tc>
              <w:tc>
                <w:tcPr>
                  <w:tcW w:w="1693" w:type="dxa"/>
                  <w:noWrap w:val="0"/>
                  <w:vAlign w:val="center"/>
                </w:tcPr>
                <w:p w14:paraId="49952427">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highlight w:val="none"/>
                      <w:lang w:eastAsia="zh-CN"/>
                    </w:rPr>
                  </w:pPr>
                  <w:r>
                    <w:rPr>
                      <w:rFonts w:hint="default" w:ascii="Times New Roman" w:hAnsi="Times New Roman" w:eastAsia="宋体" w:cs="Times New Roman"/>
                      <w:b/>
                      <w:color w:val="auto"/>
                      <w:szCs w:val="21"/>
                      <w:highlight w:val="none"/>
                      <w:lang w:val="en-US" w:eastAsia="zh-CN"/>
                    </w:rPr>
                    <w:t>使用工序</w:t>
                  </w:r>
                </w:p>
              </w:tc>
              <w:tc>
                <w:tcPr>
                  <w:tcW w:w="1220" w:type="dxa"/>
                  <w:noWrap w:val="0"/>
                  <w:vAlign w:val="center"/>
                </w:tcPr>
                <w:p w14:paraId="031958B4">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highlight w:val="none"/>
                      <w:lang w:eastAsia="zh-CN"/>
                    </w:rPr>
                  </w:pPr>
                  <w:r>
                    <w:rPr>
                      <w:rFonts w:hint="default" w:ascii="Times New Roman" w:hAnsi="Times New Roman" w:eastAsia="宋体" w:cs="Times New Roman"/>
                      <w:b/>
                      <w:color w:val="auto"/>
                      <w:szCs w:val="21"/>
                      <w:highlight w:val="none"/>
                      <w:lang w:val="en-US" w:eastAsia="zh-CN"/>
                    </w:rPr>
                    <w:t>物态</w:t>
                  </w:r>
                </w:p>
              </w:tc>
            </w:tr>
            <w:tr w14:paraId="1B447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687" w:type="dxa"/>
                  <w:noWrap w:val="0"/>
                  <w:vAlign w:val="center"/>
                </w:tcPr>
                <w:p w14:paraId="2B644F77">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w:t>
                  </w:r>
                </w:p>
              </w:tc>
              <w:tc>
                <w:tcPr>
                  <w:tcW w:w="1612" w:type="dxa"/>
                  <w:noWrap w:val="0"/>
                  <w:vAlign w:val="center"/>
                </w:tcPr>
                <w:p w14:paraId="0C981D8C">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原纸（白板纸、坑纸）</w:t>
                  </w:r>
                </w:p>
              </w:tc>
              <w:tc>
                <w:tcPr>
                  <w:tcW w:w="1017" w:type="dxa"/>
                  <w:noWrap w:val="0"/>
                  <w:vAlign w:val="center"/>
                </w:tcPr>
                <w:p w14:paraId="160D68B9">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eastAsia" w:ascii="Times New Roman" w:cs="Times New Roman"/>
                      <w:color w:val="auto"/>
                      <w:highlight w:val="none"/>
                      <w:lang w:val="en-US" w:eastAsia="zh-CN"/>
                    </w:rPr>
                    <w:t>100</w:t>
                  </w:r>
                </w:p>
              </w:tc>
              <w:tc>
                <w:tcPr>
                  <w:tcW w:w="1643" w:type="dxa"/>
                  <w:noWrap w:val="0"/>
                  <w:vAlign w:val="center"/>
                </w:tcPr>
                <w:p w14:paraId="5D57DC80">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eastAsia" w:ascii="Times New Roman" w:cs="Times New Roman"/>
                      <w:color w:val="auto"/>
                      <w:highlight w:val="none"/>
                      <w:lang w:val="en-US" w:eastAsia="zh-CN"/>
                    </w:rPr>
                    <w:t>10</w:t>
                  </w:r>
                </w:p>
              </w:tc>
              <w:tc>
                <w:tcPr>
                  <w:tcW w:w="1693" w:type="dxa"/>
                  <w:noWrap w:val="0"/>
                  <w:vAlign w:val="center"/>
                </w:tcPr>
                <w:p w14:paraId="72717128">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产品原料</w:t>
                  </w:r>
                </w:p>
              </w:tc>
              <w:tc>
                <w:tcPr>
                  <w:tcW w:w="1220" w:type="dxa"/>
                  <w:noWrap w:val="0"/>
                  <w:vAlign w:val="center"/>
                </w:tcPr>
                <w:p w14:paraId="0405EA74">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vertAlign w:val="superscript"/>
                      <w:lang w:val="en-US" w:eastAsia="zh-CN"/>
                    </w:rPr>
                  </w:pPr>
                  <w:r>
                    <w:rPr>
                      <w:rFonts w:hint="default" w:ascii="Times New Roman" w:hAnsi="Times New Roman" w:eastAsia="宋体" w:cs="Times New Roman"/>
                      <w:color w:val="auto"/>
                      <w:highlight w:val="none"/>
                      <w:lang w:val="en-US" w:eastAsia="zh-CN"/>
                    </w:rPr>
                    <w:t>固态，约</w:t>
                  </w:r>
                  <w:r>
                    <w:rPr>
                      <w:rFonts w:hint="eastAsia"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lang w:val="en-US" w:eastAsia="zh-CN"/>
                    </w:rPr>
                    <w:t>00g/m</w:t>
                  </w:r>
                  <w:r>
                    <w:rPr>
                      <w:rFonts w:hint="default" w:ascii="Times New Roman" w:hAnsi="Times New Roman" w:eastAsia="宋体" w:cs="Times New Roman"/>
                      <w:color w:val="auto"/>
                      <w:highlight w:val="none"/>
                      <w:vertAlign w:val="superscript"/>
                      <w:lang w:val="en-US" w:eastAsia="zh-CN"/>
                    </w:rPr>
                    <w:t>3</w:t>
                  </w:r>
                </w:p>
              </w:tc>
            </w:tr>
            <w:tr w14:paraId="63DCF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687" w:type="dxa"/>
                  <w:noWrap w:val="0"/>
                  <w:vAlign w:val="center"/>
                </w:tcPr>
                <w:p w14:paraId="2C38AE0F">
                  <w:pPr>
                    <w:pStyle w:val="80"/>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bCs w:val="0"/>
                      <w:color w:val="auto"/>
                      <w:kern w:val="0"/>
                      <w:sz w:val="21"/>
                      <w:szCs w:val="24"/>
                      <w:highlight w:val="none"/>
                      <w:lang w:val="en-US" w:eastAsia="zh-CN" w:bidi="ar-SA"/>
                    </w:rPr>
                  </w:pPr>
                  <w:r>
                    <w:rPr>
                      <w:rFonts w:hint="default" w:ascii="Times New Roman" w:hAnsi="Times New Roman" w:eastAsia="宋体" w:cs="Times New Roman"/>
                      <w:color w:val="auto"/>
                      <w:highlight w:val="none"/>
                    </w:rPr>
                    <w:t>2</w:t>
                  </w:r>
                </w:p>
              </w:tc>
              <w:tc>
                <w:tcPr>
                  <w:tcW w:w="1612" w:type="dxa"/>
                  <w:noWrap w:val="0"/>
                  <w:vAlign w:val="center"/>
                </w:tcPr>
                <w:p w14:paraId="214D55D8">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大豆油墨</w:t>
                  </w:r>
                </w:p>
              </w:tc>
              <w:tc>
                <w:tcPr>
                  <w:tcW w:w="1017" w:type="dxa"/>
                  <w:noWrap w:val="0"/>
                  <w:vAlign w:val="center"/>
                </w:tcPr>
                <w:p w14:paraId="76F3B78F">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eastAsia" w:ascii="Times New Roman" w:cs="Times New Roman"/>
                      <w:color w:val="auto"/>
                      <w:highlight w:val="none"/>
                      <w:lang w:val="en-US" w:eastAsia="zh-CN"/>
                    </w:rPr>
                    <w:t>1.5</w:t>
                  </w:r>
                </w:p>
              </w:tc>
              <w:tc>
                <w:tcPr>
                  <w:tcW w:w="1643" w:type="dxa"/>
                  <w:noWrap w:val="0"/>
                  <w:vAlign w:val="center"/>
                </w:tcPr>
                <w:p w14:paraId="5C83FE7D">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eastAsia" w:ascii="Times New Roman" w:cs="Times New Roman"/>
                      <w:color w:val="auto"/>
                      <w:highlight w:val="none"/>
                      <w:lang w:val="en-US" w:eastAsia="zh-CN"/>
                    </w:rPr>
                    <w:t>0.2</w:t>
                  </w:r>
                </w:p>
              </w:tc>
              <w:tc>
                <w:tcPr>
                  <w:tcW w:w="1693" w:type="dxa"/>
                  <w:noWrap w:val="0"/>
                  <w:vAlign w:val="center"/>
                </w:tcPr>
                <w:p w14:paraId="62B402E9">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eastAsia" w:ascii="Times New Roman" w:cs="Times New Roman"/>
                      <w:color w:val="auto"/>
                      <w:highlight w:val="none"/>
                      <w:lang w:val="en-US" w:eastAsia="zh-CN"/>
                    </w:rPr>
                    <w:t>纸卡和彩盒</w:t>
                  </w:r>
                  <w:r>
                    <w:rPr>
                      <w:rFonts w:hint="default" w:ascii="Times New Roman" w:hAnsi="Times New Roman" w:eastAsia="宋体" w:cs="Times New Roman"/>
                      <w:color w:val="auto"/>
                      <w:highlight w:val="none"/>
                      <w:lang w:val="en-US" w:eastAsia="zh-CN"/>
                    </w:rPr>
                    <w:t>印刷</w:t>
                  </w:r>
                </w:p>
              </w:tc>
              <w:tc>
                <w:tcPr>
                  <w:tcW w:w="1220" w:type="dxa"/>
                  <w:noWrap w:val="0"/>
                  <w:vAlign w:val="center"/>
                </w:tcPr>
                <w:p w14:paraId="6202439E">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液态</w:t>
                  </w:r>
                </w:p>
              </w:tc>
            </w:tr>
            <w:tr w14:paraId="5D915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687" w:type="dxa"/>
                  <w:noWrap w:val="0"/>
                  <w:vAlign w:val="center"/>
                </w:tcPr>
                <w:p w14:paraId="6D3201A1">
                  <w:pPr>
                    <w:pStyle w:val="80"/>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bCs w:val="0"/>
                      <w:color w:val="auto"/>
                      <w:kern w:val="0"/>
                      <w:sz w:val="21"/>
                      <w:szCs w:val="24"/>
                      <w:highlight w:val="none"/>
                      <w:lang w:val="en-US" w:eastAsia="zh-CN" w:bidi="ar-SA"/>
                    </w:rPr>
                  </w:pPr>
                  <w:r>
                    <w:rPr>
                      <w:rFonts w:hint="default" w:ascii="Times New Roman" w:hAnsi="Times New Roman" w:eastAsia="宋体" w:cs="Times New Roman"/>
                      <w:color w:val="auto"/>
                      <w:highlight w:val="none"/>
                      <w:lang w:val="en-US" w:eastAsia="zh-CN"/>
                    </w:rPr>
                    <w:t>3</w:t>
                  </w:r>
                </w:p>
              </w:tc>
              <w:tc>
                <w:tcPr>
                  <w:tcW w:w="1612" w:type="dxa"/>
                  <w:shd w:val="clear" w:color="auto" w:fill="auto"/>
                  <w:noWrap w:val="0"/>
                  <w:vAlign w:val="center"/>
                </w:tcPr>
                <w:p w14:paraId="07A64B6C">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eastAsia" w:ascii="Times New Roman" w:eastAsia="宋体" w:cs="Times New Roman"/>
                      <w:color w:val="auto"/>
                      <w:highlight w:val="none"/>
                      <w:lang w:val="en-US" w:eastAsia="zh-CN"/>
                    </w:rPr>
                    <w:t>水性光油</w:t>
                  </w:r>
                </w:p>
              </w:tc>
              <w:tc>
                <w:tcPr>
                  <w:tcW w:w="1017" w:type="dxa"/>
                  <w:shd w:val="clear" w:color="auto" w:fill="auto"/>
                  <w:noWrap w:val="0"/>
                  <w:vAlign w:val="center"/>
                </w:tcPr>
                <w:p w14:paraId="1F12CE9D">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eastAsia" w:ascii="Times New Roman" w:cs="Times New Roman"/>
                      <w:color w:val="auto"/>
                      <w:highlight w:val="none"/>
                      <w:lang w:val="en-US" w:eastAsia="zh-CN"/>
                    </w:rPr>
                    <w:t>0.4</w:t>
                  </w:r>
                </w:p>
              </w:tc>
              <w:tc>
                <w:tcPr>
                  <w:tcW w:w="1643" w:type="dxa"/>
                  <w:shd w:val="clear" w:color="auto" w:fill="auto"/>
                  <w:noWrap w:val="0"/>
                  <w:vAlign w:val="center"/>
                </w:tcPr>
                <w:p w14:paraId="6F222D42">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eastAsia" w:ascii="Times New Roman" w:cs="Times New Roman"/>
                      <w:color w:val="auto"/>
                      <w:kern w:val="0"/>
                      <w:sz w:val="21"/>
                      <w:szCs w:val="24"/>
                      <w:highlight w:val="none"/>
                      <w:lang w:val="en-US" w:eastAsia="zh-CN" w:bidi="ar-SA"/>
                    </w:rPr>
                    <w:t>0.1</w:t>
                  </w:r>
                </w:p>
              </w:tc>
              <w:tc>
                <w:tcPr>
                  <w:tcW w:w="1693" w:type="dxa"/>
                  <w:shd w:val="clear" w:color="auto" w:fill="auto"/>
                  <w:noWrap w:val="0"/>
                  <w:vAlign w:val="center"/>
                </w:tcPr>
                <w:p w14:paraId="45E3109B">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highlight w:val="none"/>
                      <w:lang w:val="en-US" w:eastAsia="zh-CN"/>
                    </w:rPr>
                    <w:t>过油</w:t>
                  </w:r>
                </w:p>
              </w:tc>
              <w:tc>
                <w:tcPr>
                  <w:tcW w:w="1220" w:type="dxa"/>
                  <w:shd w:val="clear" w:color="auto" w:fill="auto"/>
                  <w:noWrap w:val="0"/>
                  <w:vAlign w:val="center"/>
                </w:tcPr>
                <w:p w14:paraId="04105588">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highlight w:val="none"/>
                    </w:rPr>
                    <w:t>液态</w:t>
                  </w:r>
                </w:p>
              </w:tc>
            </w:tr>
            <w:tr w14:paraId="7BC43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687" w:type="dxa"/>
                  <w:noWrap w:val="0"/>
                  <w:vAlign w:val="center"/>
                </w:tcPr>
                <w:p w14:paraId="18E13335">
                  <w:pPr>
                    <w:pStyle w:val="80"/>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bCs w:val="0"/>
                      <w:color w:val="auto"/>
                      <w:kern w:val="0"/>
                      <w:sz w:val="21"/>
                      <w:szCs w:val="24"/>
                      <w:highlight w:val="none"/>
                      <w:lang w:val="en-US" w:eastAsia="zh-CN" w:bidi="ar-SA"/>
                    </w:rPr>
                  </w:pPr>
                  <w:r>
                    <w:rPr>
                      <w:rFonts w:hint="default" w:ascii="Times New Roman" w:hAnsi="Times New Roman" w:eastAsia="宋体" w:cs="Times New Roman"/>
                      <w:color w:val="auto"/>
                      <w:highlight w:val="none"/>
                      <w:lang w:val="en-US" w:eastAsia="zh-CN"/>
                    </w:rPr>
                    <w:t>4</w:t>
                  </w:r>
                </w:p>
              </w:tc>
              <w:tc>
                <w:tcPr>
                  <w:tcW w:w="1612" w:type="dxa"/>
                  <w:noWrap w:val="0"/>
                  <w:vAlign w:val="center"/>
                </w:tcPr>
                <w:p w14:paraId="2C268BCE">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eastAsia" w:ascii="Times New Roman" w:cs="Times New Roman"/>
                      <w:color w:val="auto"/>
                      <w:highlight w:val="none"/>
                      <w:lang w:val="en-US" w:eastAsia="zh-CN"/>
                    </w:rPr>
                    <w:t>封口胶（胶水）</w:t>
                  </w:r>
                </w:p>
              </w:tc>
              <w:tc>
                <w:tcPr>
                  <w:tcW w:w="1017" w:type="dxa"/>
                  <w:noWrap w:val="0"/>
                  <w:vAlign w:val="center"/>
                </w:tcPr>
                <w:p w14:paraId="772D6560">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eastAsia" w:ascii="Times New Roman" w:cs="Times New Roman"/>
                      <w:color w:val="auto"/>
                      <w:highlight w:val="none"/>
                      <w:lang w:val="en-US" w:eastAsia="zh-CN"/>
                    </w:rPr>
                    <w:t>0.3</w:t>
                  </w:r>
                </w:p>
              </w:tc>
              <w:tc>
                <w:tcPr>
                  <w:tcW w:w="1643" w:type="dxa"/>
                  <w:shd w:val="clear" w:color="auto" w:fill="auto"/>
                  <w:noWrap w:val="0"/>
                  <w:vAlign w:val="center"/>
                </w:tcPr>
                <w:p w14:paraId="51E3A1F0">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eastAsia" w:ascii="Times New Roman" w:cs="Times New Roman"/>
                      <w:color w:val="auto"/>
                      <w:kern w:val="0"/>
                      <w:sz w:val="21"/>
                      <w:szCs w:val="24"/>
                      <w:highlight w:val="none"/>
                      <w:lang w:val="en-US" w:eastAsia="zh-CN" w:bidi="ar-SA"/>
                    </w:rPr>
                    <w:t>0.1</w:t>
                  </w:r>
                </w:p>
              </w:tc>
              <w:tc>
                <w:tcPr>
                  <w:tcW w:w="1693" w:type="dxa"/>
                  <w:shd w:val="clear" w:color="auto" w:fill="auto"/>
                  <w:noWrap w:val="0"/>
                  <w:vAlign w:val="center"/>
                </w:tcPr>
                <w:p w14:paraId="7FA1E855">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highlight w:val="none"/>
                      <w:lang w:val="en-US" w:eastAsia="zh-CN"/>
                    </w:rPr>
                    <w:t>粘盒</w:t>
                  </w:r>
                </w:p>
              </w:tc>
              <w:tc>
                <w:tcPr>
                  <w:tcW w:w="1220" w:type="dxa"/>
                  <w:shd w:val="clear" w:color="auto" w:fill="auto"/>
                  <w:noWrap w:val="0"/>
                  <w:vAlign w:val="center"/>
                </w:tcPr>
                <w:p w14:paraId="29E50E31">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highlight w:val="none"/>
                    </w:rPr>
                    <w:t>液态</w:t>
                  </w:r>
                </w:p>
              </w:tc>
            </w:tr>
            <w:tr w14:paraId="30C35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687" w:type="dxa"/>
                  <w:noWrap w:val="0"/>
                  <w:vAlign w:val="center"/>
                </w:tcPr>
                <w:p w14:paraId="33236CD7">
                  <w:pPr>
                    <w:pStyle w:val="80"/>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bCs w:val="0"/>
                      <w:color w:val="auto"/>
                      <w:kern w:val="0"/>
                      <w:sz w:val="21"/>
                      <w:szCs w:val="24"/>
                      <w:highlight w:val="none"/>
                      <w:lang w:val="en-US" w:eastAsia="zh-CN" w:bidi="ar-SA"/>
                    </w:rPr>
                  </w:pPr>
                  <w:r>
                    <w:rPr>
                      <w:rFonts w:hint="default" w:ascii="Times New Roman" w:hAnsi="Times New Roman" w:eastAsia="宋体" w:cs="Times New Roman"/>
                      <w:color w:val="auto"/>
                      <w:highlight w:val="none"/>
                      <w:lang w:val="en-US" w:eastAsia="zh-CN"/>
                    </w:rPr>
                    <w:t>5</w:t>
                  </w:r>
                </w:p>
              </w:tc>
              <w:tc>
                <w:tcPr>
                  <w:tcW w:w="1612" w:type="dxa"/>
                  <w:shd w:val="clear" w:color="auto" w:fill="auto"/>
                  <w:noWrap w:val="0"/>
                  <w:vAlign w:val="center"/>
                </w:tcPr>
                <w:p w14:paraId="7434A254">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highlight w:val="none"/>
                      <w:lang w:val="en-US" w:eastAsia="zh-CN"/>
                    </w:rPr>
                    <w:t>PS版</w:t>
                  </w:r>
                </w:p>
              </w:tc>
              <w:tc>
                <w:tcPr>
                  <w:tcW w:w="1017" w:type="dxa"/>
                  <w:shd w:val="clear" w:color="auto" w:fill="auto"/>
                  <w:noWrap w:val="0"/>
                  <w:vAlign w:val="center"/>
                </w:tcPr>
                <w:p w14:paraId="5242DB3A">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eastAsia" w:ascii="Times New Roman" w:eastAsia="宋体" w:cs="Times New Roman"/>
                      <w:color w:val="auto"/>
                      <w:highlight w:val="none"/>
                      <w:lang w:val="en-US" w:eastAsia="zh-CN"/>
                    </w:rPr>
                    <w:t>1</w:t>
                  </w:r>
                </w:p>
              </w:tc>
              <w:tc>
                <w:tcPr>
                  <w:tcW w:w="1643" w:type="dxa"/>
                  <w:shd w:val="clear" w:color="auto" w:fill="auto"/>
                  <w:noWrap w:val="0"/>
                  <w:vAlign w:val="center"/>
                </w:tcPr>
                <w:p w14:paraId="3EF03729">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eastAsia" w:ascii="Times New Roman" w:cs="Times New Roman"/>
                      <w:color w:val="auto"/>
                      <w:kern w:val="0"/>
                      <w:sz w:val="21"/>
                      <w:szCs w:val="24"/>
                      <w:highlight w:val="none"/>
                      <w:lang w:val="en-US" w:eastAsia="zh-CN" w:bidi="ar-SA"/>
                    </w:rPr>
                    <w:t>0.05</w:t>
                  </w:r>
                </w:p>
              </w:tc>
              <w:tc>
                <w:tcPr>
                  <w:tcW w:w="1693" w:type="dxa"/>
                  <w:shd w:val="clear" w:color="auto" w:fill="auto"/>
                  <w:noWrap w:val="0"/>
                  <w:vAlign w:val="center"/>
                </w:tcPr>
                <w:p w14:paraId="3D2C8EC5">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highlight w:val="none"/>
                      <w:lang w:val="en-US" w:eastAsia="zh-CN"/>
                    </w:rPr>
                    <w:t>PS制版</w:t>
                  </w:r>
                </w:p>
              </w:tc>
              <w:tc>
                <w:tcPr>
                  <w:tcW w:w="1220" w:type="dxa"/>
                  <w:shd w:val="clear" w:color="auto" w:fill="auto"/>
                  <w:noWrap w:val="0"/>
                  <w:vAlign w:val="center"/>
                </w:tcPr>
                <w:p w14:paraId="032689E5">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highlight w:val="none"/>
                      <w:lang w:val="en-US" w:eastAsia="zh-CN"/>
                    </w:rPr>
                    <w:t>固态</w:t>
                  </w:r>
                </w:p>
              </w:tc>
            </w:tr>
            <w:tr w14:paraId="15503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687" w:type="dxa"/>
                  <w:noWrap w:val="0"/>
                  <w:vAlign w:val="center"/>
                </w:tcPr>
                <w:p w14:paraId="4AD2AB30">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6</w:t>
                  </w:r>
                </w:p>
              </w:tc>
              <w:tc>
                <w:tcPr>
                  <w:tcW w:w="1612" w:type="dxa"/>
                  <w:shd w:val="clear" w:color="auto" w:fill="auto"/>
                  <w:noWrap w:val="0"/>
                  <w:vAlign w:val="center"/>
                </w:tcPr>
                <w:p w14:paraId="1D47532E">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highlight w:val="none"/>
                      <w:lang w:val="en-US" w:eastAsia="zh-CN"/>
                    </w:rPr>
                    <w:t>油墨清洗剂</w:t>
                  </w:r>
                </w:p>
              </w:tc>
              <w:tc>
                <w:tcPr>
                  <w:tcW w:w="1017" w:type="dxa"/>
                  <w:shd w:val="clear" w:color="auto" w:fill="auto"/>
                  <w:noWrap w:val="0"/>
                  <w:vAlign w:val="center"/>
                </w:tcPr>
                <w:p w14:paraId="5F5B8FEB">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eastAsia" w:ascii="Times New Roman" w:eastAsia="宋体" w:cs="Times New Roman"/>
                      <w:color w:val="auto"/>
                      <w:highlight w:val="none"/>
                      <w:lang w:val="en-US" w:eastAsia="zh-CN"/>
                    </w:rPr>
                    <w:t>0.1</w:t>
                  </w:r>
                </w:p>
              </w:tc>
              <w:tc>
                <w:tcPr>
                  <w:tcW w:w="1643" w:type="dxa"/>
                  <w:shd w:val="clear" w:color="auto" w:fill="auto"/>
                  <w:noWrap w:val="0"/>
                  <w:vAlign w:val="center"/>
                </w:tcPr>
                <w:p w14:paraId="30DCD614">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eastAsia" w:ascii="Times New Roman" w:cs="Times New Roman"/>
                      <w:color w:val="auto"/>
                      <w:kern w:val="0"/>
                      <w:sz w:val="21"/>
                      <w:szCs w:val="24"/>
                      <w:highlight w:val="none"/>
                      <w:lang w:val="en-US" w:eastAsia="zh-CN" w:bidi="ar-SA"/>
                    </w:rPr>
                    <w:t>0.04</w:t>
                  </w:r>
                </w:p>
              </w:tc>
              <w:tc>
                <w:tcPr>
                  <w:tcW w:w="1693" w:type="dxa"/>
                  <w:shd w:val="clear" w:color="auto" w:fill="auto"/>
                  <w:noWrap w:val="0"/>
                  <w:vAlign w:val="center"/>
                </w:tcPr>
                <w:p w14:paraId="33E2F5A7">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highlight w:val="none"/>
                      <w:lang w:val="en-US" w:eastAsia="zh-CN"/>
                    </w:rPr>
                    <w:t>胶印机清洗</w:t>
                  </w:r>
                </w:p>
              </w:tc>
              <w:tc>
                <w:tcPr>
                  <w:tcW w:w="1220" w:type="dxa"/>
                  <w:shd w:val="clear" w:color="auto" w:fill="auto"/>
                  <w:noWrap w:val="0"/>
                  <w:vAlign w:val="center"/>
                </w:tcPr>
                <w:p w14:paraId="521FC16C">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highlight w:val="none"/>
                    </w:rPr>
                    <w:t>液态</w:t>
                  </w:r>
                </w:p>
              </w:tc>
            </w:tr>
            <w:tr w14:paraId="7561E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687" w:type="dxa"/>
                  <w:noWrap w:val="0"/>
                  <w:vAlign w:val="center"/>
                </w:tcPr>
                <w:p w14:paraId="2CDBC0DF">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7</w:t>
                  </w:r>
                </w:p>
              </w:tc>
              <w:tc>
                <w:tcPr>
                  <w:tcW w:w="1612" w:type="dxa"/>
                  <w:shd w:val="clear" w:color="auto" w:fill="auto"/>
                  <w:noWrap w:val="0"/>
                  <w:vAlign w:val="center"/>
                </w:tcPr>
                <w:p w14:paraId="5BAF2D38">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eastAsia" w:ascii="Times New Roman" w:eastAsia="宋体" w:cs="Times New Roman"/>
                      <w:color w:val="auto"/>
                      <w:highlight w:val="none"/>
                      <w:lang w:val="en-US" w:eastAsia="zh-CN"/>
                    </w:rPr>
                    <w:t>润版液</w:t>
                  </w:r>
                </w:p>
              </w:tc>
              <w:tc>
                <w:tcPr>
                  <w:tcW w:w="1017" w:type="dxa"/>
                  <w:shd w:val="clear" w:color="auto" w:fill="auto"/>
                  <w:noWrap w:val="0"/>
                  <w:vAlign w:val="center"/>
                </w:tcPr>
                <w:p w14:paraId="6F667C8C">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eastAsia" w:ascii="Times New Roman" w:eastAsia="宋体" w:cs="Times New Roman"/>
                      <w:color w:val="auto"/>
                      <w:highlight w:val="none"/>
                      <w:lang w:val="en-US" w:eastAsia="zh-CN"/>
                    </w:rPr>
                    <w:t>0.</w:t>
                  </w:r>
                  <w:r>
                    <w:rPr>
                      <w:rFonts w:hint="eastAsia" w:ascii="Times New Roman" w:cs="Times New Roman"/>
                      <w:color w:val="auto"/>
                      <w:highlight w:val="none"/>
                      <w:lang w:val="en-US" w:eastAsia="zh-CN"/>
                    </w:rPr>
                    <w:t>1</w:t>
                  </w:r>
                </w:p>
              </w:tc>
              <w:tc>
                <w:tcPr>
                  <w:tcW w:w="1643" w:type="dxa"/>
                  <w:shd w:val="clear" w:color="auto" w:fill="auto"/>
                  <w:noWrap w:val="0"/>
                  <w:vAlign w:val="center"/>
                </w:tcPr>
                <w:p w14:paraId="30615D95">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eastAsia" w:ascii="Times New Roman" w:cs="Times New Roman"/>
                      <w:color w:val="auto"/>
                      <w:kern w:val="0"/>
                      <w:sz w:val="21"/>
                      <w:szCs w:val="24"/>
                      <w:highlight w:val="none"/>
                      <w:lang w:val="en-US" w:eastAsia="zh-CN" w:bidi="ar-SA"/>
                    </w:rPr>
                    <w:t>0.04</w:t>
                  </w:r>
                </w:p>
              </w:tc>
              <w:tc>
                <w:tcPr>
                  <w:tcW w:w="1693" w:type="dxa"/>
                  <w:shd w:val="clear" w:color="auto" w:fill="auto"/>
                  <w:noWrap w:val="0"/>
                  <w:vAlign w:val="center"/>
                </w:tcPr>
                <w:p w14:paraId="73C973C0">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eastAsia" w:ascii="Times New Roman" w:eastAsia="宋体" w:cs="Times New Roman"/>
                      <w:color w:val="auto"/>
                      <w:highlight w:val="none"/>
                      <w:lang w:val="en-US" w:eastAsia="zh-CN"/>
                    </w:rPr>
                    <w:t>胶印机润版</w:t>
                  </w:r>
                </w:p>
              </w:tc>
              <w:tc>
                <w:tcPr>
                  <w:tcW w:w="1220" w:type="dxa"/>
                  <w:shd w:val="clear" w:color="auto" w:fill="auto"/>
                  <w:noWrap w:val="0"/>
                  <w:vAlign w:val="center"/>
                </w:tcPr>
                <w:p w14:paraId="1ABD3F82">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highlight w:val="none"/>
                    </w:rPr>
                    <w:t>液态</w:t>
                  </w:r>
                </w:p>
              </w:tc>
            </w:tr>
            <w:tr w14:paraId="331B4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687" w:type="dxa"/>
                  <w:noWrap w:val="0"/>
                  <w:vAlign w:val="center"/>
                </w:tcPr>
                <w:p w14:paraId="605FFD65">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8</w:t>
                  </w:r>
                </w:p>
              </w:tc>
              <w:tc>
                <w:tcPr>
                  <w:tcW w:w="1612" w:type="dxa"/>
                  <w:shd w:val="clear" w:color="auto" w:fill="auto"/>
                  <w:noWrap w:val="0"/>
                  <w:vAlign w:val="center"/>
                </w:tcPr>
                <w:p w14:paraId="40A385B7">
                  <w:pPr>
                    <w:pStyle w:val="80"/>
                    <w:keepNext w:val="0"/>
                    <w:keepLines w:val="0"/>
                    <w:suppressLineNumbers w:val="0"/>
                    <w:spacing w:before="0" w:beforeAutospacing="0" w:after="0" w:afterAutospacing="0"/>
                    <w:ind w:left="0" w:leftChars="0" w:right="0" w:rightChars="0" w:firstLine="0" w:firstLineChars="0"/>
                    <w:jc w:val="center"/>
                    <w:rPr>
                      <w:rFonts w:hint="eastAsia" w:asci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淀粉胶</w:t>
                  </w:r>
                </w:p>
              </w:tc>
              <w:tc>
                <w:tcPr>
                  <w:tcW w:w="1017" w:type="dxa"/>
                  <w:shd w:val="clear" w:color="auto" w:fill="auto"/>
                  <w:noWrap w:val="0"/>
                  <w:vAlign w:val="center"/>
                </w:tcPr>
                <w:p w14:paraId="51E5789E">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eastAsia="宋体" w:cs="Times New Roman"/>
                      <w:color w:val="auto"/>
                      <w:highlight w:val="none"/>
                      <w:lang w:val="en-US" w:eastAsia="zh-CN"/>
                    </w:rPr>
                  </w:pPr>
                  <w:r>
                    <w:rPr>
                      <w:rFonts w:hint="eastAsia" w:ascii="Times New Roman" w:cs="Times New Roman"/>
                      <w:color w:val="auto"/>
                      <w:highlight w:val="none"/>
                      <w:lang w:val="en-US" w:eastAsia="zh-CN"/>
                    </w:rPr>
                    <w:t>2</w:t>
                  </w:r>
                </w:p>
              </w:tc>
              <w:tc>
                <w:tcPr>
                  <w:tcW w:w="1643" w:type="dxa"/>
                  <w:shd w:val="clear" w:color="auto" w:fill="auto"/>
                  <w:noWrap w:val="0"/>
                  <w:vAlign w:val="center"/>
                </w:tcPr>
                <w:p w14:paraId="068845FF">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eastAsia="宋体" w:cs="Times New Roman"/>
                      <w:color w:val="auto"/>
                      <w:highlight w:val="none"/>
                      <w:lang w:val="en-US" w:eastAsia="zh-CN"/>
                    </w:rPr>
                  </w:pPr>
                  <w:r>
                    <w:rPr>
                      <w:rFonts w:hint="eastAsia" w:ascii="Times New Roman" w:cs="Times New Roman"/>
                      <w:color w:val="auto"/>
                      <w:highlight w:val="none"/>
                      <w:lang w:val="en-US" w:eastAsia="zh-CN"/>
                    </w:rPr>
                    <w:t>0.1</w:t>
                  </w:r>
                </w:p>
              </w:tc>
              <w:tc>
                <w:tcPr>
                  <w:tcW w:w="1693" w:type="dxa"/>
                  <w:shd w:val="clear" w:color="auto" w:fill="auto"/>
                  <w:noWrap w:val="0"/>
                  <w:vAlign w:val="center"/>
                </w:tcPr>
                <w:p w14:paraId="30428F96">
                  <w:pPr>
                    <w:pStyle w:val="80"/>
                    <w:keepNext w:val="0"/>
                    <w:keepLines w:val="0"/>
                    <w:suppressLineNumbers w:val="0"/>
                    <w:spacing w:before="0" w:beforeAutospacing="0" w:after="0" w:afterAutospacing="0"/>
                    <w:ind w:left="0" w:leftChars="0" w:right="0" w:rightChars="0" w:firstLine="0" w:firstLineChars="0"/>
                    <w:jc w:val="center"/>
                    <w:rPr>
                      <w:rFonts w:hint="eastAsia" w:asci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裱纸</w:t>
                  </w:r>
                </w:p>
              </w:tc>
              <w:tc>
                <w:tcPr>
                  <w:tcW w:w="1220" w:type="dxa"/>
                  <w:shd w:val="clear" w:color="auto" w:fill="auto"/>
                  <w:noWrap w:val="0"/>
                  <w:vAlign w:val="center"/>
                </w:tcPr>
                <w:p w14:paraId="09B6097E">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液态</w:t>
                  </w:r>
                </w:p>
              </w:tc>
            </w:tr>
            <w:tr w14:paraId="48858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687" w:type="dxa"/>
                  <w:noWrap w:val="0"/>
                  <w:vAlign w:val="center"/>
                </w:tcPr>
                <w:p w14:paraId="54F9EEF2">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eastAsia" w:ascii="Times New Roman" w:cs="Times New Roman"/>
                      <w:color w:val="auto"/>
                      <w:highlight w:val="none"/>
                      <w:lang w:val="en-US" w:eastAsia="zh-CN"/>
                    </w:rPr>
                    <w:t>9</w:t>
                  </w:r>
                </w:p>
              </w:tc>
              <w:tc>
                <w:tcPr>
                  <w:tcW w:w="1612" w:type="dxa"/>
                  <w:noWrap w:val="0"/>
                  <w:vAlign w:val="center"/>
                </w:tcPr>
                <w:p w14:paraId="26204916">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eastAsia" w:ascii="Times New Roman" w:cs="Times New Roman"/>
                      <w:color w:val="auto"/>
                      <w:highlight w:val="none"/>
                      <w:lang w:val="en-US" w:eastAsia="zh-CN"/>
                    </w:rPr>
                    <w:t>机油</w:t>
                  </w:r>
                </w:p>
              </w:tc>
              <w:tc>
                <w:tcPr>
                  <w:tcW w:w="1017" w:type="dxa"/>
                  <w:noWrap w:val="0"/>
                  <w:vAlign w:val="center"/>
                </w:tcPr>
                <w:p w14:paraId="6EA0B594">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eastAsia" w:ascii="Times New Roman" w:cs="Times New Roman"/>
                      <w:color w:val="auto"/>
                      <w:highlight w:val="none"/>
                      <w:lang w:val="en-US" w:eastAsia="zh-CN"/>
                    </w:rPr>
                    <w:t>0.05</w:t>
                  </w:r>
                </w:p>
              </w:tc>
              <w:tc>
                <w:tcPr>
                  <w:tcW w:w="1643" w:type="dxa"/>
                  <w:noWrap w:val="0"/>
                  <w:vAlign w:val="center"/>
                </w:tcPr>
                <w:p w14:paraId="580AD92D">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eastAsia" w:ascii="Times New Roman" w:cs="Times New Roman"/>
                      <w:color w:val="auto"/>
                      <w:highlight w:val="none"/>
                      <w:lang w:val="en-US" w:eastAsia="zh-CN"/>
                    </w:rPr>
                    <w:t>0.05</w:t>
                  </w:r>
                </w:p>
              </w:tc>
              <w:tc>
                <w:tcPr>
                  <w:tcW w:w="1693" w:type="dxa"/>
                  <w:noWrap w:val="0"/>
                  <w:vAlign w:val="center"/>
                </w:tcPr>
                <w:p w14:paraId="5B5C6EB4">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eastAsia" w:ascii="Times New Roman" w:cs="Times New Roman"/>
                      <w:color w:val="auto"/>
                      <w:highlight w:val="none"/>
                      <w:lang w:val="en-US" w:eastAsia="zh-CN"/>
                    </w:rPr>
                    <w:t>设备保养</w:t>
                  </w:r>
                </w:p>
              </w:tc>
              <w:tc>
                <w:tcPr>
                  <w:tcW w:w="1220" w:type="dxa"/>
                  <w:noWrap w:val="0"/>
                  <w:vAlign w:val="center"/>
                </w:tcPr>
                <w:p w14:paraId="016231A8">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eastAsia" w:ascii="Times New Roman" w:eastAsia="宋体" w:cs="Times New Roman"/>
                      <w:color w:val="auto"/>
                      <w:highlight w:val="none"/>
                      <w:lang w:val="en-US" w:eastAsia="zh-CN"/>
                    </w:rPr>
                    <w:t>液态</w:t>
                  </w:r>
                </w:p>
              </w:tc>
            </w:tr>
            <w:tr w14:paraId="4AA84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687" w:type="dxa"/>
                  <w:noWrap w:val="0"/>
                  <w:vAlign w:val="center"/>
                </w:tcPr>
                <w:p w14:paraId="46E27F56">
                  <w:pPr>
                    <w:pStyle w:val="80"/>
                    <w:keepNext w:val="0"/>
                    <w:keepLines w:val="0"/>
                    <w:suppressLineNumbers w:val="0"/>
                    <w:spacing w:before="0" w:beforeAutospacing="0" w:after="0" w:afterAutospacing="0"/>
                    <w:ind w:left="0" w:right="0"/>
                    <w:jc w:val="center"/>
                    <w:rPr>
                      <w:rFonts w:hint="default" w:ascii="Times New Roman" w:cs="Times New Roman"/>
                      <w:color w:val="auto"/>
                      <w:highlight w:val="none"/>
                      <w:lang w:val="en-US" w:eastAsia="zh-CN"/>
                    </w:rPr>
                  </w:pPr>
                  <w:r>
                    <w:rPr>
                      <w:rFonts w:hint="eastAsia" w:ascii="Times New Roman" w:cs="Times New Roman"/>
                      <w:color w:val="auto"/>
                      <w:highlight w:val="none"/>
                      <w:lang w:val="en-US" w:eastAsia="zh-CN"/>
                    </w:rPr>
                    <w:t>10</w:t>
                  </w:r>
                </w:p>
              </w:tc>
              <w:tc>
                <w:tcPr>
                  <w:tcW w:w="1612" w:type="dxa"/>
                  <w:noWrap w:val="0"/>
                  <w:vAlign w:val="center"/>
                </w:tcPr>
                <w:p w14:paraId="77E071AC">
                  <w:pPr>
                    <w:pStyle w:val="80"/>
                    <w:keepNext w:val="0"/>
                    <w:keepLines w:val="0"/>
                    <w:suppressLineNumbers w:val="0"/>
                    <w:spacing w:before="0" w:beforeAutospacing="0" w:after="0" w:afterAutospacing="0"/>
                    <w:ind w:left="0" w:right="0"/>
                    <w:jc w:val="center"/>
                    <w:rPr>
                      <w:rFonts w:hint="default" w:ascii="Times New Roman" w:cs="Times New Roman"/>
                      <w:color w:val="auto"/>
                      <w:highlight w:val="none"/>
                      <w:lang w:val="en-US" w:eastAsia="zh-CN"/>
                    </w:rPr>
                  </w:pPr>
                  <w:r>
                    <w:rPr>
                      <w:rFonts w:hint="eastAsia" w:ascii="Times New Roman" w:cs="Times New Roman"/>
                      <w:color w:val="auto"/>
                      <w:highlight w:val="none"/>
                      <w:lang w:val="en-US" w:eastAsia="zh-CN"/>
                    </w:rPr>
                    <w:t>天那水</w:t>
                  </w:r>
                </w:p>
              </w:tc>
              <w:tc>
                <w:tcPr>
                  <w:tcW w:w="1017" w:type="dxa"/>
                  <w:noWrap w:val="0"/>
                  <w:vAlign w:val="center"/>
                </w:tcPr>
                <w:p w14:paraId="2EAEA679">
                  <w:pPr>
                    <w:pStyle w:val="80"/>
                    <w:keepNext w:val="0"/>
                    <w:keepLines w:val="0"/>
                    <w:suppressLineNumbers w:val="0"/>
                    <w:spacing w:before="0" w:beforeAutospacing="0" w:after="0" w:afterAutospacing="0"/>
                    <w:ind w:left="0" w:right="0"/>
                    <w:jc w:val="center"/>
                    <w:rPr>
                      <w:rFonts w:hint="default" w:ascii="Times New Roman" w:cs="Times New Roman"/>
                      <w:color w:val="auto"/>
                      <w:highlight w:val="none"/>
                      <w:lang w:val="en-US" w:eastAsia="zh-CN"/>
                    </w:rPr>
                  </w:pPr>
                  <w:r>
                    <w:rPr>
                      <w:rFonts w:hint="eastAsia" w:ascii="Times New Roman" w:cs="Times New Roman"/>
                      <w:color w:val="auto"/>
                      <w:highlight w:val="none"/>
                      <w:lang w:val="en-US" w:eastAsia="zh-CN"/>
                    </w:rPr>
                    <w:t>0.2</w:t>
                  </w:r>
                </w:p>
              </w:tc>
              <w:tc>
                <w:tcPr>
                  <w:tcW w:w="1643" w:type="dxa"/>
                  <w:noWrap w:val="0"/>
                  <w:vAlign w:val="center"/>
                </w:tcPr>
                <w:p w14:paraId="5F9EABA6">
                  <w:pPr>
                    <w:pStyle w:val="80"/>
                    <w:keepNext w:val="0"/>
                    <w:keepLines w:val="0"/>
                    <w:suppressLineNumbers w:val="0"/>
                    <w:spacing w:before="0" w:beforeAutospacing="0" w:after="0" w:afterAutospacing="0"/>
                    <w:ind w:left="0" w:right="0"/>
                    <w:jc w:val="center"/>
                    <w:rPr>
                      <w:rFonts w:hint="default" w:ascii="Times New Roman" w:eastAsia="宋体" w:cs="Times New Roman"/>
                      <w:color w:val="auto"/>
                      <w:highlight w:val="none"/>
                      <w:lang w:val="en-US" w:eastAsia="zh-CN"/>
                    </w:rPr>
                  </w:pPr>
                  <w:r>
                    <w:rPr>
                      <w:rFonts w:hint="eastAsia" w:ascii="Times New Roman" w:cs="Times New Roman"/>
                      <w:color w:val="auto"/>
                      <w:highlight w:val="none"/>
                      <w:lang w:val="en-US" w:eastAsia="zh-CN"/>
                    </w:rPr>
                    <w:t>0.5</w:t>
                  </w:r>
                </w:p>
              </w:tc>
              <w:tc>
                <w:tcPr>
                  <w:tcW w:w="1693" w:type="dxa"/>
                  <w:noWrap w:val="0"/>
                  <w:vAlign w:val="center"/>
                </w:tcPr>
                <w:p w14:paraId="2404C078">
                  <w:pPr>
                    <w:pStyle w:val="80"/>
                    <w:keepNext w:val="0"/>
                    <w:keepLines w:val="0"/>
                    <w:suppressLineNumbers w:val="0"/>
                    <w:spacing w:before="0" w:beforeAutospacing="0" w:after="0" w:afterAutospacing="0"/>
                    <w:ind w:left="0" w:right="0"/>
                    <w:jc w:val="center"/>
                    <w:rPr>
                      <w:rFonts w:hint="default" w:ascii="Times New Roman" w:cs="Times New Roman"/>
                      <w:color w:val="auto"/>
                      <w:highlight w:val="none"/>
                      <w:lang w:val="en-US" w:eastAsia="zh-CN"/>
                    </w:rPr>
                  </w:pPr>
                  <w:r>
                    <w:rPr>
                      <w:rFonts w:hint="eastAsia" w:ascii="Times New Roman" w:cs="Times New Roman"/>
                      <w:color w:val="auto"/>
                      <w:highlight w:val="none"/>
                      <w:lang w:val="en-US" w:eastAsia="zh-CN"/>
                    </w:rPr>
                    <w:t>光油稀释剂</w:t>
                  </w:r>
                </w:p>
              </w:tc>
              <w:tc>
                <w:tcPr>
                  <w:tcW w:w="1220" w:type="dxa"/>
                  <w:noWrap w:val="0"/>
                  <w:vAlign w:val="center"/>
                </w:tcPr>
                <w:p w14:paraId="0FA9D282">
                  <w:pPr>
                    <w:pStyle w:val="80"/>
                    <w:keepNext w:val="0"/>
                    <w:keepLines w:val="0"/>
                    <w:suppressLineNumbers w:val="0"/>
                    <w:spacing w:before="0" w:beforeAutospacing="0" w:after="0" w:afterAutospacing="0"/>
                    <w:ind w:left="0" w:right="0"/>
                    <w:jc w:val="center"/>
                    <w:rPr>
                      <w:rFonts w:hint="eastAsia" w:ascii="Times New Roman" w:eastAsia="宋体" w:cs="Times New Roman"/>
                      <w:color w:val="auto"/>
                      <w:highlight w:val="none"/>
                      <w:lang w:val="en-US" w:eastAsia="zh-CN"/>
                    </w:rPr>
                  </w:pPr>
                  <w:r>
                    <w:rPr>
                      <w:rFonts w:hint="eastAsia" w:ascii="Times New Roman" w:eastAsia="宋体" w:cs="Times New Roman"/>
                      <w:color w:val="auto"/>
                      <w:highlight w:val="none"/>
                      <w:lang w:val="en-US" w:eastAsia="zh-CN"/>
                    </w:rPr>
                    <w:t>液态</w:t>
                  </w:r>
                </w:p>
              </w:tc>
            </w:tr>
          </w:tbl>
          <w:p w14:paraId="3ACFAAF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22" w:firstLineChars="200"/>
              <w:textAlignment w:val="auto"/>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1"/>
                <w:szCs w:val="21"/>
                <w:highlight w:val="none"/>
                <w:lang w:val="en-US" w:eastAsia="zh-CN"/>
              </w:rPr>
              <w:t>（1）</w:t>
            </w:r>
            <w:r>
              <w:rPr>
                <w:rFonts w:hint="eastAsia" w:ascii="Times New Roman" w:hAnsi="Times New Roman" w:eastAsia="宋体" w:cs="Times New Roman"/>
                <w:b/>
                <w:bCs/>
                <w:color w:val="auto"/>
                <w:sz w:val="24"/>
                <w:szCs w:val="24"/>
                <w:highlight w:val="none"/>
                <w:lang w:val="en-US" w:eastAsia="zh-CN"/>
              </w:rPr>
              <w:t>原辅料理化性质说明</w:t>
            </w:r>
          </w:p>
          <w:p w14:paraId="4BA8C1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highlight w:val="none"/>
                <w:lang w:val="en-US" w:eastAsia="zh-CN"/>
              </w:rPr>
            </w:pPr>
            <w:r>
              <w:rPr>
                <w:rFonts w:hint="eastAsia" w:ascii="Times New Roman" w:hAnsi="Times New Roman" w:cs="Times New Roman"/>
                <w:b/>
                <w:bCs/>
                <w:color w:val="auto"/>
                <w:highlight w:val="none"/>
                <w:lang w:val="en-US" w:eastAsia="zh-CN"/>
              </w:rPr>
              <w:t>表</w:t>
            </w:r>
            <w:r>
              <w:rPr>
                <w:rFonts w:hint="eastAsia" w:cs="Times New Roman"/>
                <w:b/>
                <w:bCs/>
                <w:color w:val="auto"/>
                <w:highlight w:val="none"/>
                <w:lang w:val="en-US" w:eastAsia="zh-CN"/>
              </w:rPr>
              <w:t>2-6</w:t>
            </w:r>
            <w:r>
              <w:rPr>
                <w:rFonts w:hint="eastAsia" w:ascii="Times New Roman" w:hAnsi="Times New Roman" w:cs="Times New Roman"/>
                <w:b/>
                <w:bCs/>
                <w:color w:val="auto"/>
                <w:highlight w:val="none"/>
                <w:lang w:val="en-US" w:eastAsia="zh-CN"/>
              </w:rPr>
              <w:t xml:space="preserve"> 主要原辅材料理化性质说明一览表</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6762"/>
            </w:tblGrid>
            <w:tr w14:paraId="5630F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110" w:type="dxa"/>
                  <w:noWrap w:val="0"/>
                  <w:vAlign w:val="center"/>
                </w:tcPr>
                <w:p w14:paraId="7C04A8AA">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物质名称</w:t>
                  </w:r>
                </w:p>
              </w:tc>
              <w:tc>
                <w:tcPr>
                  <w:tcW w:w="6762" w:type="dxa"/>
                  <w:noWrap w:val="0"/>
                  <w:vAlign w:val="center"/>
                </w:tcPr>
                <w:p w14:paraId="26C31766">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理化性质</w:t>
                  </w:r>
                </w:p>
              </w:tc>
            </w:tr>
            <w:tr w14:paraId="62256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trPr>
              <w:tc>
                <w:tcPr>
                  <w:tcW w:w="1110" w:type="dxa"/>
                  <w:noWrap w:val="0"/>
                  <w:vAlign w:val="center"/>
                </w:tcPr>
                <w:p w14:paraId="48415E42">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bCs w:val="0"/>
                      <w:color w:val="auto"/>
                      <w:highlight w:val="none"/>
                      <w:lang w:val="en-US" w:eastAsia="zh-CN"/>
                    </w:rPr>
                  </w:pPr>
                  <w:r>
                    <w:rPr>
                      <w:rFonts w:hint="default" w:ascii="Times New Roman" w:hAnsi="Times New Roman" w:eastAsia="宋体" w:cs="Times New Roman"/>
                      <w:bCs w:val="0"/>
                      <w:color w:val="auto"/>
                      <w:highlight w:val="none"/>
                      <w:lang w:val="en-US" w:eastAsia="zh-CN"/>
                    </w:rPr>
                    <w:t>大豆油墨</w:t>
                  </w:r>
                </w:p>
              </w:tc>
              <w:tc>
                <w:tcPr>
                  <w:tcW w:w="6762" w:type="dxa"/>
                  <w:noWrap w:val="0"/>
                  <w:vAlign w:val="top"/>
                </w:tcPr>
                <w:p w14:paraId="09BF1C44">
                  <w:pPr>
                    <w:pStyle w:val="80"/>
                    <w:keepNext w:val="0"/>
                    <w:keepLines w:val="0"/>
                    <w:suppressLineNumbers w:val="0"/>
                    <w:spacing w:before="0" w:beforeAutospacing="0" w:after="0" w:afterAutospacing="0"/>
                    <w:ind w:left="0" w:right="0"/>
                    <w:jc w:val="both"/>
                    <w:rPr>
                      <w:rFonts w:hint="default" w:ascii="Times New Roman" w:hAnsi="Times New Roman" w:eastAsia="宋体" w:cs="Times New Roman"/>
                      <w:bCs w:val="0"/>
                      <w:color w:val="auto"/>
                      <w:highlight w:val="none"/>
                      <w:lang w:val="en-US" w:eastAsia="zh-CN"/>
                    </w:rPr>
                  </w:pPr>
                  <w:r>
                    <w:rPr>
                      <w:rFonts w:hint="default" w:ascii="Times New Roman" w:hAnsi="Times New Roman" w:eastAsia="宋体" w:cs="Times New Roman"/>
                      <w:color w:val="auto"/>
                      <w:szCs w:val="21"/>
                      <w:highlight w:val="none"/>
                      <w:lang w:val="en-US" w:eastAsia="zh-CN"/>
                    </w:rPr>
                    <w:t>属于植物油油墨，有黄、红、蓝和黑四种颜色，无刺激性气味液体、良好的着墨性和可再生性，易于回收，环保性能优秀。</w:t>
                  </w:r>
                  <w:r>
                    <w:rPr>
                      <w:rFonts w:hint="default" w:ascii="Times New Roman" w:hAnsi="Times New Roman" w:eastAsia="宋体" w:cs="Times New Roman"/>
                      <w:color w:val="auto"/>
                      <w:sz w:val="21"/>
                      <w:szCs w:val="21"/>
                      <w:highlight w:val="none"/>
                    </w:rPr>
                    <w:t>密度约为</w:t>
                  </w:r>
                  <w:r>
                    <w:rPr>
                      <w:rFonts w:hint="eastAsia" w:ascii="Times New Roman" w:cs="Times New Roman"/>
                      <w:color w:val="auto"/>
                      <w:sz w:val="21"/>
                      <w:szCs w:val="21"/>
                      <w:highlight w:val="none"/>
                      <w:lang w:val="en-US" w:eastAsia="zh-CN"/>
                    </w:rPr>
                    <w:t>1.45</w:t>
                  </w:r>
                  <w:r>
                    <w:rPr>
                      <w:rFonts w:hint="default" w:ascii="Times New Roman" w:hAnsi="Times New Roman" w:eastAsia="宋体" w:cs="Times New Roman"/>
                      <w:color w:val="auto"/>
                      <w:sz w:val="21"/>
                      <w:szCs w:val="21"/>
                      <w:highlight w:val="none"/>
                    </w:rPr>
                    <w:t>g/cm³，</w:t>
                  </w:r>
                  <w:r>
                    <w:rPr>
                      <w:rFonts w:hint="default" w:ascii="Times New Roman" w:hAnsi="Times New Roman" w:eastAsia="宋体" w:cs="Times New Roman"/>
                      <w:color w:val="auto"/>
                      <w:szCs w:val="21"/>
                      <w:highlight w:val="none"/>
                      <w:lang w:val="en-US" w:eastAsia="zh-CN"/>
                    </w:rPr>
                    <w:t>组成成分为颜料10~50%、合成树脂≤40%、大豆油≥20%、除大豆油外的植物油≤10%、矿物油≤25%、蜡≤10%、异辛酸钻≤3%、异辛酸锰≤5%</w:t>
                  </w:r>
                  <w:r>
                    <w:rPr>
                      <w:rFonts w:hint="eastAsia" w:ascii="Times New Roman" w:cs="Times New Roman"/>
                      <w:color w:val="auto"/>
                      <w:szCs w:val="21"/>
                      <w:highlight w:val="none"/>
                      <w:lang w:val="en-US" w:eastAsia="zh-CN"/>
                    </w:rPr>
                    <w:t>和</w:t>
                  </w:r>
                  <w:r>
                    <w:rPr>
                      <w:rFonts w:hint="default" w:ascii="Times New Roman" w:hAnsi="Times New Roman" w:eastAsia="宋体" w:cs="Times New Roman"/>
                      <w:color w:val="auto"/>
                      <w:szCs w:val="21"/>
                      <w:highlight w:val="none"/>
                      <w:lang w:val="en-US" w:eastAsia="zh-CN"/>
                    </w:rPr>
                    <w:t>其它≤5%，详见附件</w:t>
                  </w:r>
                  <w:r>
                    <w:rPr>
                      <w:rFonts w:hint="eastAsia" w:ascii="Times New Roman" w:cs="Times New Roman"/>
                      <w:color w:val="auto"/>
                      <w:szCs w:val="21"/>
                      <w:highlight w:val="none"/>
                      <w:lang w:val="en-US" w:eastAsia="zh-CN"/>
                    </w:rPr>
                    <w:t>3</w:t>
                  </w:r>
                  <w:r>
                    <w:rPr>
                      <w:rFonts w:hint="default" w:ascii="Times New Roman" w:hAnsi="Times New Roman" w:eastAsia="宋体" w:cs="Times New Roman"/>
                      <w:color w:val="auto"/>
                      <w:szCs w:val="21"/>
                      <w:highlight w:val="none"/>
                      <w:lang w:val="en-US" w:eastAsia="zh-CN"/>
                    </w:rPr>
                    <w:t>大豆油墨MSDS报告。根据附件</w:t>
                  </w:r>
                  <w:r>
                    <w:rPr>
                      <w:rFonts w:hint="eastAsia" w:ascii="Times New Roman" w:cs="Times New Roman"/>
                      <w:color w:val="auto"/>
                      <w:szCs w:val="21"/>
                      <w:highlight w:val="none"/>
                      <w:lang w:val="en-US" w:eastAsia="zh-CN"/>
                    </w:rPr>
                    <w:t>3</w:t>
                  </w:r>
                  <w:r>
                    <w:rPr>
                      <w:rFonts w:hint="default" w:ascii="Times New Roman" w:hAnsi="Times New Roman" w:eastAsia="宋体" w:cs="Times New Roman"/>
                      <w:color w:val="auto"/>
                      <w:szCs w:val="21"/>
                      <w:highlight w:val="none"/>
                      <w:lang w:val="en-US" w:eastAsia="zh-CN"/>
                    </w:rPr>
                    <w:t>大豆油墨VOC含量检测报告，挥发性有机化合物(VOC)含量为0.1%。</w:t>
                  </w:r>
                </w:p>
              </w:tc>
            </w:tr>
            <w:tr w14:paraId="5B14F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9" w:hRule="atLeast"/>
              </w:trPr>
              <w:tc>
                <w:tcPr>
                  <w:tcW w:w="1110" w:type="dxa"/>
                  <w:noWrap w:val="0"/>
                  <w:vAlign w:val="center"/>
                </w:tcPr>
                <w:p w14:paraId="4A0E9BA2">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bCs w:val="0"/>
                      <w:color w:val="auto"/>
                      <w:highlight w:val="none"/>
                      <w:lang w:val="en-US" w:eastAsia="zh-CN"/>
                    </w:rPr>
                  </w:pPr>
                  <w:r>
                    <w:rPr>
                      <w:rFonts w:hint="default" w:ascii="Times New Roman" w:hAnsi="Times New Roman" w:eastAsia="宋体" w:cs="Times New Roman"/>
                      <w:bCs w:val="0"/>
                      <w:color w:val="auto"/>
                      <w:highlight w:val="none"/>
                      <w:lang w:val="en-US" w:eastAsia="zh-CN"/>
                    </w:rPr>
                    <w:t>水性光油</w:t>
                  </w:r>
                </w:p>
              </w:tc>
              <w:tc>
                <w:tcPr>
                  <w:tcW w:w="6762" w:type="dxa"/>
                  <w:noWrap w:val="0"/>
                  <w:vAlign w:val="top"/>
                </w:tcPr>
                <w:p w14:paraId="7A4595CF">
                  <w:pPr>
                    <w:pStyle w:val="80"/>
                    <w:keepNext w:val="0"/>
                    <w:keepLines w:val="0"/>
                    <w:suppressLineNumbers w:val="0"/>
                    <w:spacing w:before="0" w:beforeAutospacing="0" w:after="0" w:afterAutospacing="0"/>
                    <w:ind w:left="0" w:right="0"/>
                    <w:jc w:val="both"/>
                    <w:rPr>
                      <w:rFonts w:hint="default" w:ascii="Times New Roman" w:hAnsi="Times New Roman" w:eastAsia="宋体" w:cs="Times New Roman"/>
                      <w:bCs w:val="0"/>
                      <w:color w:val="auto"/>
                      <w:highlight w:val="none"/>
                      <w:lang w:val="en-US" w:eastAsia="zh-CN"/>
                    </w:rPr>
                  </w:pPr>
                  <w:r>
                    <w:rPr>
                      <w:rFonts w:hint="default" w:ascii="Times New Roman" w:hAnsi="Times New Roman" w:eastAsia="宋体" w:cs="Times New Roman"/>
                      <w:bCs w:val="0"/>
                      <w:color w:val="auto"/>
                      <w:highlight w:val="none"/>
                      <w:lang w:val="en-US" w:eastAsia="zh-CN"/>
                    </w:rPr>
                    <w:t>以水为载体，用来增加纸质印刷品的光泽度、耐水性、耐磨性。根据用途可分为高光泽、普通光泽、哑光光泽，本项目所用的光油为普通光泽以及哑光光泽。</w:t>
                  </w:r>
                  <w:r>
                    <w:rPr>
                      <w:rFonts w:hint="default" w:ascii="Times New Roman" w:hAnsi="Times New Roman" w:eastAsia="宋体" w:cs="Times New Roman"/>
                      <w:color w:val="auto"/>
                      <w:sz w:val="21"/>
                      <w:szCs w:val="21"/>
                      <w:highlight w:val="none"/>
                    </w:rPr>
                    <w:t>密度约为</w:t>
                  </w:r>
                  <w:r>
                    <w:rPr>
                      <w:rFonts w:hint="eastAsia" w:ascii="Times New Roman" w:cs="Times New Roman"/>
                      <w:color w:val="auto"/>
                      <w:sz w:val="21"/>
                      <w:szCs w:val="21"/>
                      <w:highlight w:val="none"/>
                      <w:lang w:val="en-US" w:eastAsia="zh-CN"/>
                    </w:rPr>
                    <w:t>1.05</w:t>
                  </w:r>
                  <w:r>
                    <w:rPr>
                      <w:rFonts w:hint="default" w:ascii="Times New Roman" w:hAnsi="Times New Roman" w:eastAsia="宋体" w:cs="Times New Roman"/>
                      <w:color w:val="auto"/>
                      <w:sz w:val="21"/>
                      <w:szCs w:val="21"/>
                      <w:highlight w:val="none"/>
                    </w:rPr>
                    <w:t>g/cm³，</w:t>
                  </w:r>
                  <w:r>
                    <w:rPr>
                      <w:rFonts w:hint="default" w:ascii="Times New Roman" w:hAnsi="Times New Roman" w:eastAsia="宋体" w:cs="Times New Roman"/>
                      <w:bCs w:val="0"/>
                      <w:color w:val="auto"/>
                      <w:highlight w:val="none"/>
                      <w:lang w:val="en-US" w:eastAsia="zh-CN"/>
                    </w:rPr>
                    <w:t>组成成分为</w:t>
                  </w:r>
                  <w:r>
                    <w:rPr>
                      <w:rFonts w:hint="eastAsia" w:ascii="Times New Roman" w:cs="Times New Roman"/>
                      <w:bCs w:val="0"/>
                      <w:color w:val="auto"/>
                      <w:highlight w:val="none"/>
                      <w:lang w:val="en-US" w:eastAsia="zh-CN"/>
                    </w:rPr>
                    <w:t>大豆油墨</w:t>
                  </w:r>
                  <w:r>
                    <w:rPr>
                      <w:rFonts w:hint="default" w:ascii="Times New Roman" w:hAnsi="Times New Roman" w:eastAsia="宋体" w:cs="Times New Roman"/>
                      <w:bCs w:val="0"/>
                      <w:color w:val="auto"/>
                      <w:highlight w:val="none"/>
                      <w:lang w:val="en-US" w:eastAsia="zh-CN"/>
                    </w:rPr>
                    <w:t>用快干树脂20-23%、丙烯酸树脂20-23.5%、成膜树脂30-33.5%、蒸馏水10%和添加剂10%</w:t>
                  </w:r>
                  <w:r>
                    <w:rPr>
                      <w:rFonts w:hint="eastAsia" w:ascii="Times New Roman" w:cs="Times New Roman"/>
                      <w:bCs w:val="0"/>
                      <w:color w:val="auto"/>
                      <w:highlight w:val="none"/>
                      <w:lang w:val="en-US" w:eastAsia="zh-CN"/>
                    </w:rPr>
                    <w:t>组成</w:t>
                  </w:r>
                  <w:r>
                    <w:rPr>
                      <w:rFonts w:hint="default" w:ascii="Times New Roman" w:hAnsi="Times New Roman" w:eastAsia="宋体" w:cs="Times New Roman"/>
                      <w:bCs w:val="0"/>
                      <w:color w:val="auto"/>
                      <w:highlight w:val="none"/>
                      <w:lang w:val="en-US" w:eastAsia="zh-CN"/>
                    </w:rPr>
                    <w:t>。详见附件</w:t>
                  </w:r>
                  <w:r>
                    <w:rPr>
                      <w:rFonts w:hint="eastAsia" w:ascii="Times New Roman" w:cs="Times New Roman"/>
                      <w:bCs w:val="0"/>
                      <w:color w:val="auto"/>
                      <w:highlight w:val="none"/>
                      <w:lang w:val="en-US" w:eastAsia="zh-CN"/>
                    </w:rPr>
                    <w:t>4</w:t>
                  </w:r>
                  <w:r>
                    <w:rPr>
                      <w:rFonts w:hint="default" w:ascii="Times New Roman" w:hAnsi="Times New Roman" w:eastAsia="宋体" w:cs="Times New Roman"/>
                      <w:bCs w:val="0"/>
                      <w:color w:val="auto"/>
                      <w:highlight w:val="none"/>
                      <w:lang w:val="en-US" w:eastAsia="zh-CN"/>
                    </w:rPr>
                    <w:t>水性光油的MSDS报告。根据附件</w:t>
                  </w:r>
                  <w:r>
                    <w:rPr>
                      <w:rFonts w:hint="eastAsia" w:ascii="Times New Roman" w:cs="Times New Roman"/>
                      <w:bCs w:val="0"/>
                      <w:color w:val="auto"/>
                      <w:highlight w:val="none"/>
                      <w:lang w:val="en-US" w:eastAsia="zh-CN"/>
                    </w:rPr>
                    <w:t>4</w:t>
                  </w:r>
                  <w:r>
                    <w:rPr>
                      <w:rFonts w:hint="default" w:ascii="Times New Roman" w:hAnsi="Times New Roman" w:eastAsia="宋体" w:cs="Times New Roman"/>
                      <w:bCs w:val="0"/>
                      <w:color w:val="auto"/>
                      <w:highlight w:val="none"/>
                      <w:lang w:val="en-US" w:eastAsia="zh-CN"/>
                    </w:rPr>
                    <w:t>水性光油VOC检测报告，项目所用的水性光油中VOC含量为0.</w:t>
                  </w:r>
                  <w:r>
                    <w:rPr>
                      <w:rFonts w:hint="eastAsia" w:ascii="Times New Roman" w:cs="Times New Roman"/>
                      <w:bCs w:val="0"/>
                      <w:color w:val="auto"/>
                      <w:highlight w:val="none"/>
                      <w:lang w:val="en-US" w:eastAsia="zh-CN"/>
                    </w:rPr>
                    <w:t>1</w:t>
                  </w:r>
                  <w:r>
                    <w:rPr>
                      <w:rFonts w:hint="default" w:ascii="Times New Roman" w:hAnsi="Times New Roman" w:eastAsia="宋体" w:cs="Times New Roman"/>
                      <w:bCs w:val="0"/>
                      <w:color w:val="auto"/>
                      <w:highlight w:val="none"/>
                      <w:lang w:val="en-US" w:eastAsia="zh-CN"/>
                    </w:rPr>
                    <w:t>%</w:t>
                  </w:r>
                  <w:r>
                    <w:rPr>
                      <w:rFonts w:hint="eastAsia" w:ascii="Times New Roman" w:cs="Times New Roman"/>
                      <w:bCs w:val="0"/>
                      <w:color w:val="auto"/>
                      <w:highlight w:val="none"/>
                      <w:lang w:val="en-US" w:eastAsia="zh-CN"/>
                    </w:rPr>
                    <w:t>。</w:t>
                  </w:r>
                </w:p>
              </w:tc>
            </w:tr>
            <w:tr w14:paraId="73A34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trPr>
              <w:tc>
                <w:tcPr>
                  <w:tcW w:w="1110" w:type="dxa"/>
                  <w:noWrap w:val="0"/>
                  <w:vAlign w:val="center"/>
                </w:tcPr>
                <w:p w14:paraId="3356C5D1">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bCs w:val="0"/>
                      <w:color w:val="auto"/>
                      <w:highlight w:val="none"/>
                      <w:lang w:val="en-US" w:eastAsia="zh-CN"/>
                    </w:rPr>
                  </w:pPr>
                  <w:r>
                    <w:rPr>
                      <w:rFonts w:hint="eastAsia" w:ascii="Times New Roman" w:cs="Times New Roman"/>
                      <w:color w:val="auto"/>
                      <w:sz w:val="21"/>
                      <w:szCs w:val="21"/>
                      <w:highlight w:val="none"/>
                      <w:lang w:val="en-US" w:eastAsia="zh-CN"/>
                    </w:rPr>
                    <w:t>封口胶</w:t>
                  </w:r>
                </w:p>
              </w:tc>
              <w:tc>
                <w:tcPr>
                  <w:tcW w:w="6762" w:type="dxa"/>
                  <w:noWrap w:val="0"/>
                  <w:vAlign w:val="top"/>
                </w:tcPr>
                <w:p w14:paraId="04246938">
                  <w:pPr>
                    <w:pStyle w:val="80"/>
                    <w:keepNext w:val="0"/>
                    <w:keepLines w:val="0"/>
                    <w:suppressLineNumbers w:val="0"/>
                    <w:spacing w:before="0" w:beforeAutospacing="0" w:after="0" w:afterAutospacing="0"/>
                    <w:ind w:left="0" w:right="0"/>
                    <w:jc w:val="left"/>
                    <w:rPr>
                      <w:rFonts w:hint="default" w:ascii="Times New Roman" w:hAnsi="Times New Roman" w:eastAsia="宋体" w:cs="Times New Roman"/>
                      <w:bCs w:val="0"/>
                      <w:color w:val="auto"/>
                      <w:highlight w:val="none"/>
                      <w:lang w:val="en-US" w:eastAsia="zh-CN"/>
                    </w:rPr>
                  </w:pPr>
                  <w:r>
                    <w:rPr>
                      <w:rFonts w:hint="eastAsia" w:ascii="Times New Roman" w:cs="Times New Roman"/>
                      <w:color w:val="auto"/>
                      <w:sz w:val="21"/>
                      <w:szCs w:val="21"/>
                      <w:highlight w:val="none"/>
                      <w:lang w:val="en-US" w:eastAsia="zh-CN"/>
                    </w:rPr>
                    <w:t>白色液体，微溶于水，可溶于多数有机溶剂，</w:t>
                  </w:r>
                  <w:r>
                    <w:rPr>
                      <w:rFonts w:hint="default" w:ascii="Times New Roman" w:hAnsi="Times New Roman" w:eastAsia="宋体" w:cs="Times New Roman"/>
                      <w:color w:val="auto"/>
                      <w:sz w:val="21"/>
                      <w:szCs w:val="21"/>
                      <w:highlight w:val="none"/>
                    </w:rPr>
                    <w:t>密度约为</w:t>
                  </w:r>
                  <w:r>
                    <w:rPr>
                      <w:rFonts w:hint="eastAsia" w:ascii="Times New Roman" w:cs="Times New Roman"/>
                      <w:color w:val="auto"/>
                      <w:sz w:val="21"/>
                      <w:szCs w:val="21"/>
                      <w:highlight w:val="none"/>
                      <w:lang w:val="en-US" w:eastAsia="zh-CN"/>
                    </w:rPr>
                    <w:t>0.93</w:t>
                  </w:r>
                  <w:r>
                    <w:rPr>
                      <w:rFonts w:hint="default" w:ascii="Times New Roman" w:hAnsi="Times New Roman" w:eastAsia="宋体" w:cs="Times New Roman"/>
                      <w:color w:val="auto"/>
                      <w:sz w:val="21"/>
                      <w:szCs w:val="21"/>
                      <w:highlight w:val="none"/>
                    </w:rPr>
                    <w:t>g/cm³，</w:t>
                  </w:r>
                  <w:r>
                    <w:rPr>
                      <w:rFonts w:hint="eastAsia" w:ascii="Times New Roman" w:cs="Times New Roman"/>
                      <w:color w:val="auto"/>
                      <w:sz w:val="21"/>
                      <w:szCs w:val="21"/>
                      <w:highlight w:val="none"/>
                      <w:lang w:val="en-US" w:eastAsia="zh-CN"/>
                    </w:rPr>
                    <w:t>主要成分有</w:t>
                  </w:r>
                  <w:r>
                    <w:rPr>
                      <w:rFonts w:hint="default" w:ascii="Times New Roman" w:hAnsi="Times New Roman" w:eastAsia="宋体" w:cs="Times New Roman"/>
                      <w:color w:val="auto"/>
                      <w:sz w:val="21"/>
                      <w:szCs w:val="21"/>
                      <w:highlight w:val="none"/>
                    </w:rPr>
                    <w:t>D20环保溶剂油34%</w:t>
                  </w:r>
                  <w:r>
                    <w:rPr>
                      <w:rFonts w:hint="eastAsia" w:asci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705乳液5%</w:t>
                  </w:r>
                  <w:r>
                    <w:rPr>
                      <w:rFonts w:hint="eastAsia" w:asci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甲基环己烷5%</w:t>
                  </w:r>
                  <w:r>
                    <w:rPr>
                      <w:rFonts w:hint="eastAsia" w:asci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松香甘油酯30%</w:t>
                  </w:r>
                  <w:r>
                    <w:rPr>
                      <w:rFonts w:hint="eastAsia" w:asci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树脂25%</w:t>
                  </w:r>
                  <w:r>
                    <w:rPr>
                      <w:rFonts w:hint="eastAsia" w:asci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防老化剂1%。根据</w:t>
                  </w:r>
                  <w:r>
                    <w:rPr>
                      <w:rFonts w:hint="eastAsia" w:ascii="Times New Roman" w:cs="Times New Roman"/>
                      <w:color w:val="auto"/>
                      <w:sz w:val="21"/>
                      <w:szCs w:val="21"/>
                      <w:highlight w:val="none"/>
                      <w:lang w:val="en-US" w:eastAsia="zh-CN"/>
                    </w:rPr>
                    <w:t>附件6</w:t>
                  </w:r>
                  <w:r>
                    <w:rPr>
                      <w:rFonts w:hint="default" w:ascii="Times New Roman" w:hAnsi="Times New Roman" w:eastAsia="宋体" w:cs="Times New Roman"/>
                      <w:color w:val="auto"/>
                      <w:sz w:val="21"/>
                      <w:szCs w:val="21"/>
                      <w:highlight w:val="none"/>
                    </w:rPr>
                    <w:t>该</w:t>
                  </w:r>
                  <w:r>
                    <w:rPr>
                      <w:rFonts w:hint="eastAsia" w:ascii="Times New Roman" w:cs="Times New Roman"/>
                      <w:color w:val="auto"/>
                      <w:sz w:val="21"/>
                      <w:szCs w:val="21"/>
                      <w:highlight w:val="none"/>
                      <w:lang w:eastAsia="zh-CN"/>
                    </w:rPr>
                    <w:t>封口胶</w:t>
                  </w:r>
                  <w:r>
                    <w:rPr>
                      <w:rFonts w:hint="default" w:ascii="Times New Roman" w:hAnsi="Times New Roman" w:eastAsia="宋体" w:cs="Times New Roman"/>
                      <w:color w:val="auto"/>
                      <w:sz w:val="21"/>
                      <w:szCs w:val="21"/>
                      <w:highlight w:val="none"/>
                    </w:rPr>
                    <w:t>VOC检测报告可知，</w:t>
                  </w:r>
                  <w:r>
                    <w:rPr>
                      <w:rFonts w:hint="eastAsia" w:ascii="Times New Roman" w:cs="Times New Roman"/>
                      <w:color w:val="auto"/>
                      <w:sz w:val="21"/>
                      <w:szCs w:val="21"/>
                      <w:highlight w:val="none"/>
                      <w:lang w:eastAsia="zh-CN"/>
                    </w:rPr>
                    <w:t>该封口胶挥发性有机化合物含量为</w:t>
                  </w:r>
                  <w:r>
                    <w:rPr>
                      <w:rFonts w:hint="eastAsia" w:ascii="Times New Roman" w:cs="Times New Roman"/>
                      <w:color w:val="auto"/>
                      <w:sz w:val="21"/>
                      <w:szCs w:val="21"/>
                      <w:highlight w:val="none"/>
                      <w:lang w:val="en-US" w:eastAsia="zh-CN"/>
                    </w:rPr>
                    <w:t>216</w:t>
                  </w:r>
                  <w:r>
                    <w:rPr>
                      <w:rFonts w:hint="eastAsia" w:ascii="Times New Roman" w:cs="Times New Roman"/>
                      <w:color w:val="auto"/>
                      <w:sz w:val="21"/>
                      <w:szCs w:val="21"/>
                      <w:highlight w:val="none"/>
                      <w:lang w:eastAsia="zh-CN"/>
                    </w:rPr>
                    <w:t>g/L</w:t>
                  </w:r>
                  <w:r>
                    <w:rPr>
                      <w:rFonts w:hint="default" w:ascii="Times New Roman" w:hAnsi="Times New Roman" w:eastAsia="宋体" w:cs="Times New Roman"/>
                      <w:color w:val="auto"/>
                      <w:sz w:val="21"/>
                      <w:szCs w:val="21"/>
                      <w:highlight w:val="none"/>
                    </w:rPr>
                    <w:t>。</w:t>
                  </w:r>
                </w:p>
              </w:tc>
            </w:tr>
            <w:tr w14:paraId="09D6F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1" w:hRule="atLeast"/>
              </w:trPr>
              <w:tc>
                <w:tcPr>
                  <w:tcW w:w="1110" w:type="dxa"/>
                  <w:shd w:val="clear" w:color="auto" w:fill="auto"/>
                  <w:noWrap w:val="0"/>
                  <w:vAlign w:val="center"/>
                </w:tcPr>
                <w:p w14:paraId="7CF075BB">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val="0"/>
                      <w:color w:val="auto"/>
                      <w:sz w:val="21"/>
                      <w:szCs w:val="24"/>
                      <w:highlight w:val="none"/>
                      <w:lang w:val="en-US" w:eastAsia="zh-CN"/>
                    </w:rPr>
                  </w:pPr>
                  <w:r>
                    <w:rPr>
                      <w:rFonts w:hint="default" w:ascii="Times New Roman" w:hAnsi="Times New Roman" w:eastAsia="宋体" w:cs="Times New Roman"/>
                      <w:b w:val="0"/>
                      <w:bCs w:val="0"/>
                      <w:color w:val="auto"/>
                      <w:sz w:val="21"/>
                      <w:szCs w:val="24"/>
                      <w:highlight w:val="none"/>
                      <w:lang w:val="en-US" w:eastAsia="zh-CN"/>
                    </w:rPr>
                    <w:t>油墨</w:t>
                  </w:r>
                </w:p>
                <w:p w14:paraId="183EE196">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b w:val="0"/>
                      <w:bCs w:val="0"/>
                      <w:color w:val="auto"/>
                      <w:sz w:val="21"/>
                      <w:szCs w:val="24"/>
                      <w:highlight w:val="none"/>
                      <w:lang w:val="en-US" w:eastAsia="zh-CN"/>
                    </w:rPr>
                    <w:t>清洗剂</w:t>
                  </w:r>
                </w:p>
              </w:tc>
              <w:tc>
                <w:tcPr>
                  <w:tcW w:w="6762" w:type="dxa"/>
                  <w:shd w:val="clear" w:color="auto" w:fill="auto"/>
                  <w:noWrap w:val="0"/>
                  <w:vAlign w:val="top"/>
                </w:tcPr>
                <w:p w14:paraId="1E4C7856">
                  <w:pPr>
                    <w:pStyle w:val="80"/>
                    <w:keepNext w:val="0"/>
                    <w:keepLines w:val="0"/>
                    <w:suppressLineNumbers w:val="0"/>
                    <w:spacing w:before="0" w:beforeAutospacing="0" w:after="0" w:afterAutospacing="0"/>
                    <w:ind w:left="0" w:leftChars="0" w:right="0" w:rightChars="0" w:firstLine="0" w:firstLineChars="0"/>
                    <w:jc w:val="both"/>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b w:val="0"/>
                      <w:bCs w:val="0"/>
                      <w:color w:val="auto"/>
                      <w:sz w:val="21"/>
                      <w:szCs w:val="24"/>
                      <w:highlight w:val="none"/>
                      <w:lang w:val="en-US" w:eastAsia="zh-CN"/>
                    </w:rPr>
                    <w:t>别名洗车水，用于去除印刷机上的油墨、污垢和其他杂质，保证印刷机处于良好的工作状态。</w:t>
                  </w:r>
                  <w:r>
                    <w:rPr>
                      <w:rFonts w:hint="default" w:ascii="Times New Roman" w:hAnsi="Times New Roman" w:eastAsia="宋体" w:cs="Times New Roman"/>
                      <w:color w:val="auto"/>
                      <w:sz w:val="21"/>
                      <w:szCs w:val="21"/>
                      <w:highlight w:val="none"/>
                    </w:rPr>
                    <w:t>密度约为</w:t>
                  </w:r>
                  <w:r>
                    <w:rPr>
                      <w:rFonts w:hint="eastAsia" w:ascii="Times New Roman" w:cs="Times New Roman"/>
                      <w:color w:val="auto"/>
                      <w:sz w:val="21"/>
                      <w:szCs w:val="21"/>
                      <w:highlight w:val="none"/>
                      <w:lang w:val="en-US" w:eastAsia="zh-CN"/>
                    </w:rPr>
                    <w:t>1.03</w:t>
                  </w:r>
                  <w:r>
                    <w:rPr>
                      <w:rFonts w:hint="default" w:ascii="Times New Roman" w:hAnsi="Times New Roman" w:eastAsia="宋体" w:cs="Times New Roman"/>
                      <w:color w:val="auto"/>
                      <w:sz w:val="21"/>
                      <w:szCs w:val="21"/>
                      <w:highlight w:val="none"/>
                    </w:rPr>
                    <w:t>g/cm³，</w:t>
                  </w:r>
                  <w:r>
                    <w:rPr>
                      <w:rFonts w:hint="default" w:ascii="Times New Roman" w:hAnsi="Times New Roman" w:eastAsia="宋体" w:cs="Times New Roman"/>
                      <w:b w:val="0"/>
                      <w:bCs w:val="0"/>
                      <w:color w:val="auto"/>
                      <w:sz w:val="21"/>
                      <w:szCs w:val="24"/>
                      <w:highlight w:val="none"/>
                      <w:lang w:val="en-US" w:eastAsia="zh-CN"/>
                    </w:rPr>
                    <w:t>组成成分为</w:t>
                  </w:r>
                  <w:r>
                    <w:rPr>
                      <w:rFonts w:hint="eastAsia" w:ascii="Times New Roman" w:cs="Times New Roman"/>
                      <w:b w:val="0"/>
                      <w:bCs w:val="0"/>
                      <w:color w:val="auto"/>
                      <w:sz w:val="21"/>
                      <w:szCs w:val="24"/>
                      <w:highlight w:val="none"/>
                      <w:lang w:val="en-US" w:eastAsia="zh-CN"/>
                    </w:rPr>
                    <w:t>碳氢化学物92</w:t>
                  </w:r>
                  <w:r>
                    <w:rPr>
                      <w:rFonts w:hint="default" w:ascii="Times New Roman" w:hAnsi="Times New Roman" w:eastAsia="宋体" w:cs="Times New Roman"/>
                      <w:b w:val="0"/>
                      <w:bCs w:val="0"/>
                      <w:color w:val="auto"/>
                      <w:sz w:val="21"/>
                      <w:szCs w:val="24"/>
                      <w:highlight w:val="none"/>
                      <w:lang w:val="en-US" w:eastAsia="zh-CN"/>
                    </w:rPr>
                    <w:t>%、离子水</w:t>
                  </w:r>
                  <w:r>
                    <w:rPr>
                      <w:rFonts w:hint="eastAsia" w:ascii="Times New Roman" w:cs="Times New Roman"/>
                      <w:b w:val="0"/>
                      <w:bCs w:val="0"/>
                      <w:color w:val="auto"/>
                      <w:sz w:val="21"/>
                      <w:szCs w:val="24"/>
                      <w:highlight w:val="none"/>
                      <w:lang w:val="en-US" w:eastAsia="zh-CN"/>
                    </w:rPr>
                    <w:t>8</w:t>
                  </w:r>
                  <w:r>
                    <w:rPr>
                      <w:rFonts w:hint="default" w:ascii="Times New Roman" w:hAnsi="Times New Roman" w:eastAsia="宋体" w:cs="Times New Roman"/>
                      <w:b w:val="0"/>
                      <w:bCs w:val="0"/>
                      <w:color w:val="auto"/>
                      <w:sz w:val="21"/>
                      <w:szCs w:val="24"/>
                      <w:highlight w:val="none"/>
                      <w:lang w:val="en-US" w:eastAsia="zh-CN"/>
                    </w:rPr>
                    <w:t>%，乳白色液体，常态下稳定。详见油墨清洗剂MSDS报告。根据产品VOC检测报告可知，VOC含量为</w:t>
                  </w:r>
                  <w:r>
                    <w:rPr>
                      <w:rFonts w:hint="eastAsia" w:ascii="Times New Roman" w:cs="Times New Roman"/>
                      <w:b w:val="0"/>
                      <w:bCs w:val="0"/>
                      <w:color w:val="auto"/>
                      <w:sz w:val="21"/>
                      <w:szCs w:val="24"/>
                      <w:highlight w:val="none"/>
                      <w:lang w:val="en-US" w:eastAsia="zh-CN"/>
                    </w:rPr>
                    <w:t>83</w:t>
                  </w:r>
                  <w:r>
                    <w:rPr>
                      <w:rFonts w:hint="default" w:ascii="Times New Roman" w:hAnsi="Times New Roman" w:eastAsia="宋体" w:cs="Times New Roman"/>
                      <w:b w:val="0"/>
                      <w:bCs w:val="0"/>
                      <w:color w:val="auto"/>
                      <w:sz w:val="21"/>
                      <w:szCs w:val="24"/>
                      <w:highlight w:val="none"/>
                      <w:lang w:val="en-US" w:eastAsia="zh-CN"/>
                    </w:rPr>
                    <w:t>g/L。</w:t>
                  </w:r>
                </w:p>
              </w:tc>
            </w:tr>
            <w:tr w14:paraId="22131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1110" w:type="dxa"/>
                  <w:shd w:val="clear" w:color="auto" w:fill="auto"/>
                  <w:noWrap w:val="0"/>
                  <w:vAlign w:val="center"/>
                </w:tcPr>
                <w:p w14:paraId="57BBBD85">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val="0"/>
                      <w:color w:val="auto"/>
                      <w:kern w:val="0"/>
                      <w:sz w:val="21"/>
                      <w:szCs w:val="24"/>
                      <w:highlight w:val="none"/>
                      <w:lang w:val="en-US" w:eastAsia="zh-CN" w:bidi="ar-SA"/>
                    </w:rPr>
                  </w:pPr>
                  <w:r>
                    <w:rPr>
                      <w:rFonts w:hint="eastAsia" w:ascii="Times New Roman" w:eastAsia="宋体" w:cs="Times New Roman"/>
                      <w:b w:val="0"/>
                      <w:bCs w:val="0"/>
                      <w:color w:val="auto"/>
                      <w:sz w:val="21"/>
                      <w:szCs w:val="24"/>
                      <w:highlight w:val="none"/>
                      <w:lang w:val="en-US" w:eastAsia="zh-CN"/>
                    </w:rPr>
                    <w:t>润版液</w:t>
                  </w:r>
                </w:p>
              </w:tc>
              <w:tc>
                <w:tcPr>
                  <w:tcW w:w="6762" w:type="dxa"/>
                  <w:shd w:val="clear" w:color="auto" w:fill="auto"/>
                  <w:noWrap w:val="0"/>
                  <w:vAlign w:val="top"/>
                </w:tcPr>
                <w:p w14:paraId="3CA7EE87">
                  <w:pPr>
                    <w:pStyle w:val="80"/>
                    <w:keepNext w:val="0"/>
                    <w:keepLines w:val="0"/>
                    <w:suppressLineNumbers w:val="0"/>
                    <w:spacing w:before="0" w:beforeAutospacing="0" w:after="0" w:afterAutospacing="0"/>
                    <w:ind w:left="0" w:leftChars="0" w:right="0" w:rightChars="0" w:firstLine="0" w:firstLineChars="0"/>
                    <w:jc w:val="both"/>
                    <w:rPr>
                      <w:rFonts w:hint="default" w:ascii="Times New Roman" w:hAnsi="Times New Roman" w:eastAsia="宋体" w:cs="Times New Roman"/>
                      <w:b w:val="0"/>
                      <w:bCs w:val="0"/>
                      <w:color w:val="auto"/>
                      <w:kern w:val="0"/>
                      <w:sz w:val="21"/>
                      <w:szCs w:val="24"/>
                      <w:highlight w:val="none"/>
                      <w:lang w:val="en-US" w:eastAsia="zh-CN" w:bidi="ar-SA"/>
                    </w:rPr>
                  </w:pPr>
                  <w:r>
                    <w:rPr>
                      <w:rFonts w:hint="eastAsia" w:ascii="Times New Roman" w:eastAsia="宋体" w:cs="Times New Roman"/>
                      <w:b w:val="0"/>
                      <w:bCs w:val="0"/>
                      <w:color w:val="auto"/>
                      <w:sz w:val="21"/>
                      <w:szCs w:val="24"/>
                      <w:highlight w:val="none"/>
                      <w:lang w:val="en-US" w:eastAsia="zh-CN"/>
                    </w:rPr>
                    <w:t>在印版的空白部分形成均匀水墨，抵御图文上的油墨向空白部分浸润防止脏版。此外，与版基金属铝反应形成的亲水层，保持印版亲水性。根</w:t>
                  </w:r>
                  <w:r>
                    <w:rPr>
                      <w:rFonts w:hint="eastAsia" w:ascii="Times New Roman" w:cs="Times New Roman"/>
                      <w:b w:val="0"/>
                      <w:bCs w:val="0"/>
                      <w:color w:val="auto"/>
                      <w:sz w:val="21"/>
                      <w:szCs w:val="24"/>
                      <w:highlight w:val="none"/>
                      <w:lang w:val="en-US" w:eastAsia="zh-CN"/>
                    </w:rPr>
                    <w:t>据润版液的MSDS报告，密度约为1.04g</w:t>
                  </w:r>
                  <w:r>
                    <w:rPr>
                      <w:rFonts w:hint="default" w:ascii="Times New Roman" w:hAnsi="Times New Roman" w:eastAsia="宋体" w:cs="Times New Roman"/>
                      <w:color w:val="auto"/>
                      <w:sz w:val="21"/>
                      <w:szCs w:val="21"/>
                      <w:highlight w:val="none"/>
                    </w:rPr>
                    <w:t>/cm³，</w:t>
                  </w:r>
                  <w:r>
                    <w:rPr>
                      <w:rFonts w:hint="eastAsia" w:ascii="Times New Roman" w:eastAsia="宋体" w:cs="Times New Roman"/>
                      <w:b w:val="0"/>
                      <w:bCs w:val="0"/>
                      <w:color w:val="auto"/>
                      <w:sz w:val="21"/>
                      <w:szCs w:val="24"/>
                      <w:highlight w:val="none"/>
                      <w:lang w:val="en-US" w:eastAsia="zh-CN"/>
                    </w:rPr>
                    <w:t>水40%、乙二醇25%、甘油18%、阿拉伯树胶5%、柠檬酸钠4%、表面活性剂3%、柠檬酸3%和苹果酸二钠2%</w:t>
                  </w:r>
                  <w:r>
                    <w:rPr>
                      <w:rFonts w:hint="default" w:ascii="Times New Roman" w:hAnsi="Times New Roman" w:eastAsia="宋体" w:cs="Times New Roman"/>
                      <w:b w:val="0"/>
                      <w:bCs w:val="0"/>
                      <w:color w:val="auto"/>
                      <w:sz w:val="21"/>
                      <w:szCs w:val="24"/>
                      <w:highlight w:val="none"/>
                      <w:lang w:val="en-US" w:eastAsia="zh-CN"/>
                    </w:rPr>
                    <w:t>。根据产品VOC检测报告可知，VOC含量为</w:t>
                  </w:r>
                  <w:r>
                    <w:rPr>
                      <w:rFonts w:hint="eastAsia" w:ascii="Times New Roman" w:cs="Times New Roman"/>
                      <w:b w:val="0"/>
                      <w:bCs w:val="0"/>
                      <w:color w:val="auto"/>
                      <w:sz w:val="21"/>
                      <w:szCs w:val="24"/>
                      <w:highlight w:val="none"/>
                      <w:lang w:val="en-US" w:eastAsia="zh-CN"/>
                    </w:rPr>
                    <w:t>26</w:t>
                  </w:r>
                  <w:r>
                    <w:rPr>
                      <w:rFonts w:hint="default" w:ascii="Times New Roman" w:hAnsi="Times New Roman" w:eastAsia="宋体" w:cs="Times New Roman"/>
                      <w:b w:val="0"/>
                      <w:bCs w:val="0"/>
                      <w:color w:val="auto"/>
                      <w:sz w:val="21"/>
                      <w:szCs w:val="24"/>
                      <w:highlight w:val="none"/>
                      <w:lang w:val="en-US" w:eastAsia="zh-CN"/>
                    </w:rPr>
                    <w:t>g/L。</w:t>
                  </w:r>
                </w:p>
              </w:tc>
            </w:tr>
            <w:tr w14:paraId="469AA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trPr>
              <w:tc>
                <w:tcPr>
                  <w:tcW w:w="1110" w:type="dxa"/>
                  <w:shd w:val="clear" w:color="auto" w:fill="auto"/>
                  <w:noWrap w:val="0"/>
                  <w:vAlign w:val="center"/>
                </w:tcPr>
                <w:p w14:paraId="4B42AF65">
                  <w:pPr>
                    <w:pStyle w:val="80"/>
                    <w:keepNext w:val="0"/>
                    <w:keepLines w:val="0"/>
                    <w:suppressLineNumbers w:val="0"/>
                    <w:spacing w:before="0" w:beforeAutospacing="0" w:after="0" w:afterAutospacing="0"/>
                    <w:ind w:left="0" w:leftChars="0" w:right="0" w:rightChars="0" w:firstLine="0" w:firstLineChars="0"/>
                    <w:jc w:val="center"/>
                    <w:rPr>
                      <w:rFonts w:hint="eastAsia" w:ascii="Times New Roman" w:eastAsia="宋体" w:cs="Times New Roman"/>
                      <w:b w:val="0"/>
                      <w:bCs w:val="0"/>
                      <w:color w:val="auto"/>
                      <w:sz w:val="21"/>
                      <w:szCs w:val="24"/>
                      <w:highlight w:val="none"/>
                      <w:lang w:val="en-US" w:eastAsia="zh-CN"/>
                    </w:rPr>
                  </w:pPr>
                  <w:bookmarkStart w:id="3" w:name="OLE_LINK1"/>
                  <w:r>
                    <w:rPr>
                      <w:rFonts w:hint="default" w:ascii="Times New Roman" w:hAnsi="Times New Roman" w:eastAsia="宋体" w:cs="Times New Roman"/>
                      <w:color w:val="auto"/>
                      <w:sz w:val="21"/>
                      <w:szCs w:val="20"/>
                      <w:highlight w:val="none"/>
                      <w:lang w:val="en-US" w:eastAsia="zh-CN"/>
                    </w:rPr>
                    <w:t>淀粉胶</w:t>
                  </w:r>
                  <w:bookmarkEnd w:id="3"/>
                </w:p>
              </w:tc>
              <w:tc>
                <w:tcPr>
                  <w:tcW w:w="6762" w:type="dxa"/>
                  <w:shd w:val="clear" w:color="auto" w:fill="auto"/>
                  <w:noWrap w:val="0"/>
                  <w:vAlign w:val="center"/>
                </w:tcPr>
                <w:p w14:paraId="2C0B250E">
                  <w:pPr>
                    <w:pStyle w:val="80"/>
                    <w:keepNext w:val="0"/>
                    <w:keepLines w:val="0"/>
                    <w:suppressLineNumbers w:val="0"/>
                    <w:spacing w:before="0" w:beforeAutospacing="0" w:after="0" w:afterAutospacing="0"/>
                    <w:ind w:left="0" w:leftChars="0" w:right="0" w:rightChars="0" w:firstLine="0" w:firstLineChars="0"/>
                    <w:jc w:val="both"/>
                    <w:rPr>
                      <w:rFonts w:hint="eastAsia" w:ascii="Times New Roman" w:eastAsia="宋体" w:cs="Times New Roman"/>
                      <w:b w:val="0"/>
                      <w:bCs w:val="0"/>
                      <w:color w:val="auto"/>
                      <w:sz w:val="21"/>
                      <w:szCs w:val="24"/>
                      <w:highlight w:val="none"/>
                      <w:lang w:val="en-US" w:eastAsia="zh-CN"/>
                    </w:rPr>
                  </w:pPr>
                  <w:r>
                    <w:rPr>
                      <w:rFonts w:hint="default" w:ascii="Times New Roman" w:hAnsi="Times New Roman" w:eastAsia="宋体" w:cs="Times New Roman"/>
                      <w:color w:val="auto"/>
                      <w:sz w:val="21"/>
                      <w:szCs w:val="20"/>
                      <w:highlight w:val="none"/>
                      <w:lang w:val="en-US" w:eastAsia="zh-CN"/>
                    </w:rPr>
                    <w:t>又名淀粉胶水，米白色液体，基于淀粉分子在湿润条件下吸水膨胀形成凝胶，通过分子间的氢键作用和分子链的交联结构实现物质的粘合。主要用于瓦楞纸、纸板之间的裱合。主要成分：玉米淀粉、水。该淀粉胶不含挥发性有机化合物成分，使用过程不产生VOCs废气。</w:t>
                  </w:r>
                </w:p>
              </w:tc>
            </w:tr>
            <w:tr w14:paraId="13B54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trPr>
              <w:tc>
                <w:tcPr>
                  <w:tcW w:w="1110" w:type="dxa"/>
                  <w:shd w:val="clear" w:color="auto" w:fill="auto"/>
                  <w:noWrap w:val="0"/>
                  <w:vAlign w:val="center"/>
                </w:tcPr>
                <w:p w14:paraId="0541696A">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1"/>
                      <w:szCs w:val="20"/>
                      <w:highlight w:val="none"/>
                      <w:lang w:val="en-US" w:eastAsia="zh-CN"/>
                    </w:rPr>
                  </w:pPr>
                  <w:r>
                    <w:rPr>
                      <w:rFonts w:hint="default" w:ascii="Times New Roman" w:hAnsi="Times New Roman" w:eastAsia="宋体" w:cs="Times New Roman"/>
                      <w:color w:val="auto"/>
                      <w:sz w:val="21"/>
                      <w:szCs w:val="20"/>
                      <w:highlight w:val="none"/>
                      <w:lang w:val="en-US" w:eastAsia="zh-CN"/>
                    </w:rPr>
                    <w:t>PS版</w:t>
                  </w:r>
                </w:p>
              </w:tc>
              <w:tc>
                <w:tcPr>
                  <w:tcW w:w="6762" w:type="dxa"/>
                  <w:shd w:val="clear" w:color="auto" w:fill="auto"/>
                  <w:noWrap w:val="0"/>
                  <w:vAlign w:val="center"/>
                </w:tcPr>
                <w:p w14:paraId="51F09AD5">
                  <w:pPr>
                    <w:pStyle w:val="80"/>
                    <w:keepNext w:val="0"/>
                    <w:keepLines w:val="0"/>
                    <w:suppressLineNumbers w:val="0"/>
                    <w:spacing w:before="0" w:beforeAutospacing="0" w:after="0" w:afterAutospacing="0"/>
                    <w:ind w:left="0" w:leftChars="0" w:right="0" w:rightChars="0" w:firstLine="0" w:firstLineChars="0"/>
                    <w:jc w:val="both"/>
                    <w:rPr>
                      <w:rFonts w:hint="default" w:ascii="Times New Roman" w:hAnsi="Times New Roman" w:eastAsia="宋体" w:cs="Times New Roman"/>
                      <w:color w:val="auto"/>
                      <w:sz w:val="21"/>
                      <w:szCs w:val="20"/>
                      <w:highlight w:val="none"/>
                      <w:lang w:val="en-US" w:eastAsia="zh-CN"/>
                    </w:rPr>
                  </w:pPr>
                  <w:r>
                    <w:rPr>
                      <w:rFonts w:hint="default" w:ascii="Times New Roman" w:hAnsi="Times New Roman" w:eastAsia="宋体" w:cs="Times New Roman"/>
                      <w:color w:val="auto"/>
                      <w:sz w:val="21"/>
                      <w:szCs w:val="20"/>
                      <w:highlight w:val="none"/>
                      <w:lang w:val="en-US" w:eastAsia="zh-CN"/>
                    </w:rPr>
                    <w:t>预涂感光版（简称PS版），中文全称是预涂感光平版，是以薄铝板为支持体、涂布重氮感光树脂制成的非银感光材料，主要用于平版印刷。项目使用PS版属于光分解型（阳图制版），阳图型PS版的耐印力大都在10万印左右，若将印版在一定的温度下进行烘烤，还可提高到30-40万印。其亲油部分为微凸树脂层，亲水部分为氧化铝膜，砂目细密利于网点成型，水墨平衡易控。</w:t>
                  </w:r>
                </w:p>
              </w:tc>
            </w:tr>
            <w:tr w14:paraId="2D2C0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trPr>
              <w:tc>
                <w:tcPr>
                  <w:tcW w:w="1110" w:type="dxa"/>
                  <w:shd w:val="clear" w:color="auto" w:fill="auto"/>
                  <w:noWrap w:val="0"/>
                  <w:vAlign w:val="center"/>
                </w:tcPr>
                <w:p w14:paraId="1B39C144">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1"/>
                      <w:szCs w:val="20"/>
                      <w:highlight w:val="none"/>
                      <w:lang w:val="en-US" w:eastAsia="zh-CN"/>
                    </w:rPr>
                  </w:pPr>
                  <w:r>
                    <w:rPr>
                      <w:rFonts w:hint="eastAsia" w:ascii="Times New Roman" w:cs="Times New Roman"/>
                      <w:color w:val="auto"/>
                      <w:sz w:val="21"/>
                      <w:szCs w:val="20"/>
                      <w:highlight w:val="none"/>
                      <w:lang w:val="en-US" w:eastAsia="zh-CN"/>
                    </w:rPr>
                    <w:t>天那水</w:t>
                  </w:r>
                </w:p>
              </w:tc>
              <w:tc>
                <w:tcPr>
                  <w:tcW w:w="6762" w:type="dxa"/>
                  <w:shd w:val="clear" w:color="auto" w:fill="auto"/>
                  <w:noWrap w:val="0"/>
                  <w:vAlign w:val="center"/>
                </w:tcPr>
                <w:p w14:paraId="67FFE09D">
                  <w:pPr>
                    <w:pStyle w:val="80"/>
                    <w:keepNext w:val="0"/>
                    <w:keepLines w:val="0"/>
                    <w:suppressLineNumbers w:val="0"/>
                    <w:spacing w:before="0" w:beforeAutospacing="0" w:after="0" w:afterAutospacing="0"/>
                    <w:ind w:left="0" w:leftChars="0" w:right="0" w:rightChars="0" w:firstLine="0" w:firstLineChars="0"/>
                    <w:jc w:val="both"/>
                    <w:rPr>
                      <w:rFonts w:hint="default" w:ascii="Times New Roman" w:hAnsi="Times New Roman" w:eastAsia="宋体" w:cs="Times New Roman"/>
                      <w:color w:val="auto"/>
                      <w:sz w:val="21"/>
                      <w:szCs w:val="20"/>
                      <w:highlight w:val="none"/>
                      <w:lang w:val="en-US" w:eastAsia="zh-CN"/>
                    </w:rPr>
                  </w:pPr>
                  <w:r>
                    <w:rPr>
                      <w:rFonts w:hint="default" w:ascii="Times New Roman" w:hAnsi="Times New Roman" w:eastAsia="宋体" w:cs="Times New Roman"/>
                      <w:color w:val="auto"/>
                      <w:sz w:val="21"/>
                      <w:szCs w:val="20"/>
                      <w:highlight w:val="none"/>
                      <w:lang w:val="en-US" w:eastAsia="zh-CN"/>
                    </w:rPr>
                    <w:t>无色透明液体，具有特殊的芳香气味或辛辣气味；微溶于水，但能与多数有机溶剂（如乙醇、丙酮、乙醚等）混溶；其沸点约70 - 140℃，闪点32.2℃，比重（密度）0.</w:t>
                  </w:r>
                  <w:r>
                    <w:rPr>
                      <w:rFonts w:hint="eastAsia" w:ascii="Times New Roman" w:cs="Times New Roman"/>
                      <w:color w:val="auto"/>
                      <w:sz w:val="21"/>
                      <w:szCs w:val="20"/>
                      <w:highlight w:val="none"/>
                      <w:lang w:val="en-US" w:eastAsia="zh-CN"/>
                    </w:rPr>
                    <w:t>86</w:t>
                  </w:r>
                  <w:r>
                    <w:rPr>
                      <w:rFonts w:hint="default" w:ascii="Times New Roman" w:hAnsi="Times New Roman" w:eastAsia="宋体" w:cs="Times New Roman"/>
                      <w:color w:val="auto"/>
                      <w:sz w:val="21"/>
                      <w:szCs w:val="20"/>
                      <w:highlight w:val="none"/>
                      <w:lang w:val="en-US" w:eastAsia="zh-CN"/>
                    </w:rPr>
                    <w:t>g/cm</w:t>
                  </w:r>
                  <w:r>
                    <w:rPr>
                      <w:rFonts w:hint="default" w:ascii="Times New Roman" w:hAnsi="Times New Roman" w:eastAsia="宋体" w:cs="Times New Roman"/>
                      <w:color w:val="auto"/>
                      <w:sz w:val="21"/>
                      <w:szCs w:val="20"/>
                      <w:highlight w:val="none"/>
                      <w:vertAlign w:val="superscript"/>
                      <w:lang w:val="en-US" w:eastAsia="zh-CN"/>
                    </w:rPr>
                    <w:t>3</w:t>
                  </w:r>
                  <w:r>
                    <w:rPr>
                      <w:rFonts w:hint="default" w:ascii="Times New Roman" w:hAnsi="Times New Roman" w:eastAsia="宋体" w:cs="Times New Roman"/>
                      <w:color w:val="auto"/>
                      <w:sz w:val="21"/>
                      <w:szCs w:val="20"/>
                      <w:highlight w:val="none"/>
                      <w:lang w:val="en-US" w:eastAsia="zh-CN"/>
                    </w:rPr>
                    <w:t>。主要成分为二甲苯10%、乙酸丁酯 、丙二醇甲醚醋酸酯。</w:t>
                  </w:r>
                </w:p>
              </w:tc>
            </w:tr>
          </w:tbl>
          <w:p w14:paraId="3F50565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（2）用量核算</w:t>
            </w:r>
          </w:p>
          <w:p w14:paraId="5A23D11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参考《佛山市包装印刷行业建设项目环评文件编制技术参考指南》，对项目所用的VOCs物料，包括油墨、胶黏剂、清洗剂进行核算。核算公式如下：</w:t>
            </w:r>
          </w:p>
          <w:p w14:paraId="45265A6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大豆油墨</w:t>
            </w:r>
            <w:r>
              <w:rPr>
                <w:rFonts w:hint="eastAsia" w:ascii="Times New Roman" w:hAnsi="Times New Roman" w:eastAsia="宋体" w:cs="Times New Roman"/>
                <w:b/>
                <w:bCs/>
                <w:color w:val="auto"/>
                <w:sz w:val="24"/>
                <w:szCs w:val="24"/>
                <w:highlight w:val="none"/>
                <w:lang w:val="en-US" w:eastAsia="zh-CN"/>
              </w:rPr>
              <w:t>用量核算公式</w:t>
            </w:r>
          </w:p>
          <w:p w14:paraId="44DE2D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A=B×C÷（E×F）×G</w:t>
            </w:r>
          </w:p>
          <w:p w14:paraId="66425F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公式中，A——油墨的消耗量，g；</w:t>
            </w:r>
          </w:p>
          <w:p w14:paraId="403212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 xml:space="preserve">        B——涂层厚度；</w:t>
            </w:r>
          </w:p>
          <w:p w14:paraId="6E1976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 xml:space="preserve">        C——涂层密度，g/cm；</w:t>
            </w:r>
          </w:p>
          <w:p w14:paraId="1195C0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 xml:space="preserve">        E——各印刷工艺油墨利用率，%；</w:t>
            </w:r>
          </w:p>
          <w:p w14:paraId="396246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 xml:space="preserve">        F——原料固体分，%</w:t>
            </w:r>
          </w:p>
          <w:p w14:paraId="0DC3FB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b w:val="0"/>
                <w:bCs w:val="0"/>
                <w:color w:val="auto"/>
                <w:sz w:val="24"/>
                <w:szCs w:val="24"/>
                <w:highlight w:val="none"/>
                <w:vertAlign w:val="baseline"/>
                <w:lang w:val="en-US" w:eastAsia="zh-CN"/>
              </w:rPr>
            </w:pPr>
            <w:r>
              <w:rPr>
                <w:rFonts w:hint="eastAsia" w:ascii="Times New Roman" w:hAnsi="Times New Roman" w:eastAsia="宋体" w:cs="Times New Roman"/>
                <w:b w:val="0"/>
                <w:bCs w:val="0"/>
                <w:color w:val="auto"/>
                <w:sz w:val="24"/>
                <w:szCs w:val="24"/>
                <w:highlight w:val="none"/>
                <w:lang w:val="en-US" w:eastAsia="zh-CN"/>
              </w:rPr>
              <w:t xml:space="preserve">        G——印刷面积，m</w:t>
            </w:r>
            <w:r>
              <w:rPr>
                <w:rFonts w:hint="eastAsia" w:ascii="Times New Roman" w:hAnsi="Times New Roman" w:eastAsia="宋体" w:cs="Times New Roman"/>
                <w:b w:val="0"/>
                <w:bCs w:val="0"/>
                <w:color w:val="auto"/>
                <w:sz w:val="24"/>
                <w:szCs w:val="24"/>
                <w:highlight w:val="none"/>
                <w:vertAlign w:val="superscript"/>
                <w:lang w:val="en-US" w:eastAsia="zh-CN"/>
              </w:rPr>
              <w:t>2</w:t>
            </w:r>
          </w:p>
          <w:p w14:paraId="172027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b w:val="0"/>
                <w:bCs w:val="0"/>
                <w:color w:val="auto"/>
                <w:sz w:val="24"/>
                <w:szCs w:val="24"/>
                <w:highlight w:val="none"/>
                <w:vertAlign w:val="baseline"/>
                <w:lang w:val="en-US" w:eastAsia="zh-CN"/>
              </w:rPr>
            </w:pPr>
            <w:r>
              <w:rPr>
                <w:rFonts w:hint="eastAsia" w:ascii="Times New Roman" w:hAnsi="Times New Roman" w:eastAsia="宋体" w:cs="Times New Roman"/>
                <w:b w:val="0"/>
                <w:bCs w:val="0"/>
                <w:color w:val="auto"/>
                <w:sz w:val="24"/>
                <w:szCs w:val="24"/>
                <w:highlight w:val="none"/>
                <w:vertAlign w:val="baseline"/>
                <w:lang w:val="en-US" w:eastAsia="zh-CN"/>
              </w:rPr>
              <w:t>根据建设单位提供的资料，油墨用量核算一览表如下所示：</w:t>
            </w:r>
          </w:p>
          <w:p w14:paraId="369E45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2" w:firstLineChars="20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表</w:t>
            </w:r>
            <w:r>
              <w:rPr>
                <w:rFonts w:hint="eastAsia" w:ascii="Times New Roman" w:hAnsi="Times New Roman" w:cs="Times New Roman"/>
                <w:b/>
                <w:bCs/>
                <w:color w:val="auto"/>
                <w:sz w:val="21"/>
                <w:szCs w:val="21"/>
                <w:highlight w:val="none"/>
                <w:vertAlign w:val="baseline"/>
                <w:lang w:val="en-US" w:eastAsia="zh-CN"/>
              </w:rPr>
              <w:t>2-7</w:t>
            </w:r>
            <w:r>
              <w:rPr>
                <w:rFonts w:hint="eastAsia" w:ascii="Times New Roman" w:hAnsi="Times New Roman" w:eastAsia="宋体" w:cs="Times New Roman"/>
                <w:b/>
                <w:bCs/>
                <w:color w:val="auto"/>
                <w:sz w:val="21"/>
                <w:szCs w:val="21"/>
                <w:highlight w:val="none"/>
                <w:vertAlign w:val="baseline"/>
                <w:lang w:val="en-US" w:eastAsia="zh-CN"/>
              </w:rPr>
              <w:t xml:space="preserve"> 油墨用量核算一览表</w:t>
            </w:r>
          </w:p>
          <w:tbl>
            <w:tblPr>
              <w:tblStyle w:val="32"/>
              <w:tblW w:w="73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795"/>
              <w:gridCol w:w="955"/>
              <w:gridCol w:w="1059"/>
              <w:gridCol w:w="795"/>
              <w:gridCol w:w="798"/>
              <w:gridCol w:w="1009"/>
              <w:gridCol w:w="1009"/>
            </w:tblGrid>
            <w:tr w14:paraId="44E88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945" w:type="dxa"/>
                  <w:noWrap w:val="0"/>
                  <w:vAlign w:val="center"/>
                </w:tcPr>
                <w:p w14:paraId="701C94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油墨</w:t>
                  </w:r>
                </w:p>
                <w:p w14:paraId="719BA1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类型</w:t>
                  </w:r>
                </w:p>
              </w:tc>
              <w:tc>
                <w:tcPr>
                  <w:tcW w:w="795" w:type="dxa"/>
                  <w:noWrap w:val="0"/>
                  <w:vAlign w:val="center"/>
                </w:tcPr>
                <w:p w14:paraId="2CCC44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产品</w:t>
                  </w:r>
                </w:p>
              </w:tc>
              <w:tc>
                <w:tcPr>
                  <w:tcW w:w="955" w:type="dxa"/>
                  <w:noWrap w:val="0"/>
                  <w:vAlign w:val="center"/>
                </w:tcPr>
                <w:p w14:paraId="60F80C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涂层厚度（μm）</w:t>
                  </w:r>
                </w:p>
              </w:tc>
              <w:tc>
                <w:tcPr>
                  <w:tcW w:w="1059" w:type="dxa"/>
                  <w:noWrap w:val="0"/>
                  <w:vAlign w:val="center"/>
                </w:tcPr>
                <w:p w14:paraId="01A87A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涂层密度（g/cm</w:t>
                  </w:r>
                  <w:r>
                    <w:rPr>
                      <w:rFonts w:hint="default" w:ascii="Times New Roman" w:hAnsi="Times New Roman" w:eastAsia="宋体" w:cs="Times New Roman"/>
                      <w:b/>
                      <w:bCs/>
                      <w:color w:val="auto"/>
                      <w:sz w:val="21"/>
                      <w:szCs w:val="21"/>
                      <w:highlight w:val="none"/>
                      <w:vertAlign w:val="superscript"/>
                      <w:lang w:val="en-US" w:eastAsia="zh-CN"/>
                    </w:rPr>
                    <w:t>3</w:t>
                  </w:r>
                  <w:r>
                    <w:rPr>
                      <w:rFonts w:hint="default" w:ascii="Times New Roman" w:hAnsi="Times New Roman" w:eastAsia="宋体" w:cs="Times New Roman"/>
                      <w:b/>
                      <w:bCs/>
                      <w:color w:val="auto"/>
                      <w:sz w:val="21"/>
                      <w:szCs w:val="21"/>
                      <w:highlight w:val="none"/>
                      <w:vertAlign w:val="baseline"/>
                      <w:lang w:val="en-US" w:eastAsia="zh-CN"/>
                    </w:rPr>
                    <w:t>）</w:t>
                  </w:r>
                </w:p>
              </w:tc>
              <w:tc>
                <w:tcPr>
                  <w:tcW w:w="795" w:type="dxa"/>
                  <w:noWrap w:val="0"/>
                  <w:vAlign w:val="center"/>
                </w:tcPr>
                <w:p w14:paraId="2E4D2E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利用率（%）</w:t>
                  </w:r>
                </w:p>
              </w:tc>
              <w:tc>
                <w:tcPr>
                  <w:tcW w:w="798" w:type="dxa"/>
                  <w:noWrap w:val="0"/>
                  <w:vAlign w:val="center"/>
                </w:tcPr>
                <w:p w14:paraId="676C59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固体分（%）</w:t>
                  </w:r>
                </w:p>
              </w:tc>
              <w:tc>
                <w:tcPr>
                  <w:tcW w:w="1009" w:type="dxa"/>
                  <w:noWrap w:val="0"/>
                  <w:vAlign w:val="center"/>
                </w:tcPr>
                <w:p w14:paraId="47A910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印刷面积（m</w:t>
                  </w:r>
                  <w:r>
                    <w:rPr>
                      <w:rFonts w:hint="default" w:ascii="Times New Roman" w:hAnsi="Times New Roman" w:eastAsia="宋体" w:cs="Times New Roman"/>
                      <w:b/>
                      <w:bCs/>
                      <w:color w:val="auto"/>
                      <w:sz w:val="21"/>
                      <w:szCs w:val="21"/>
                      <w:highlight w:val="none"/>
                      <w:vertAlign w:val="superscript"/>
                      <w:lang w:val="en-US" w:eastAsia="zh-CN"/>
                    </w:rPr>
                    <w:t>2</w:t>
                  </w:r>
                  <w:r>
                    <w:rPr>
                      <w:rFonts w:hint="default" w:ascii="Times New Roman" w:hAnsi="Times New Roman" w:eastAsia="宋体" w:cs="Times New Roman"/>
                      <w:b/>
                      <w:bCs/>
                      <w:color w:val="auto"/>
                      <w:sz w:val="21"/>
                      <w:szCs w:val="21"/>
                      <w:highlight w:val="none"/>
                      <w:vertAlign w:val="baseline"/>
                      <w:lang w:val="en-US" w:eastAsia="zh-CN"/>
                    </w:rPr>
                    <w:t>）</w:t>
                  </w:r>
                </w:p>
              </w:tc>
              <w:tc>
                <w:tcPr>
                  <w:tcW w:w="1009" w:type="dxa"/>
                  <w:noWrap w:val="0"/>
                  <w:vAlign w:val="center"/>
                </w:tcPr>
                <w:p w14:paraId="1F91CB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油墨</w:t>
                  </w:r>
                  <w:r>
                    <w:rPr>
                      <w:rFonts w:hint="eastAsia" w:cs="Times New Roman"/>
                      <w:b/>
                      <w:bCs/>
                      <w:color w:val="auto"/>
                      <w:sz w:val="21"/>
                      <w:szCs w:val="21"/>
                      <w:highlight w:val="none"/>
                      <w:vertAlign w:val="baseline"/>
                      <w:lang w:val="en-US" w:eastAsia="zh-CN"/>
                    </w:rPr>
                    <w:t>理论</w:t>
                  </w:r>
                  <w:r>
                    <w:rPr>
                      <w:rFonts w:hint="default" w:ascii="Times New Roman" w:hAnsi="Times New Roman" w:eastAsia="宋体" w:cs="Times New Roman"/>
                      <w:b/>
                      <w:bCs/>
                      <w:color w:val="auto"/>
                      <w:sz w:val="21"/>
                      <w:szCs w:val="21"/>
                      <w:highlight w:val="none"/>
                      <w:vertAlign w:val="baseline"/>
                      <w:lang w:val="en-US" w:eastAsia="zh-CN"/>
                    </w:rPr>
                    <w:t>消耗量（t/a）</w:t>
                  </w:r>
                </w:p>
              </w:tc>
            </w:tr>
            <w:tr w14:paraId="19C63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945" w:type="dxa"/>
                  <w:vMerge w:val="restart"/>
                  <w:noWrap w:val="0"/>
                  <w:vAlign w:val="center"/>
                </w:tcPr>
                <w:p w14:paraId="63394B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大豆</w:t>
                  </w:r>
                </w:p>
                <w:p w14:paraId="2549B0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油墨</w:t>
                  </w:r>
                </w:p>
              </w:tc>
              <w:tc>
                <w:tcPr>
                  <w:tcW w:w="795" w:type="dxa"/>
                  <w:noWrap w:val="0"/>
                  <w:vAlign w:val="center"/>
                </w:tcPr>
                <w:p w14:paraId="704F0A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纸卡</w:t>
                  </w:r>
                </w:p>
              </w:tc>
              <w:tc>
                <w:tcPr>
                  <w:tcW w:w="955" w:type="dxa"/>
                  <w:noWrap w:val="0"/>
                  <w:vAlign w:val="center"/>
                </w:tcPr>
                <w:p w14:paraId="0E9660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3</w:t>
                  </w:r>
                </w:p>
              </w:tc>
              <w:tc>
                <w:tcPr>
                  <w:tcW w:w="1059" w:type="dxa"/>
                  <w:noWrap w:val="0"/>
                  <w:vAlign w:val="center"/>
                </w:tcPr>
                <w:p w14:paraId="06D03D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1.2</w:t>
                  </w:r>
                </w:p>
              </w:tc>
              <w:tc>
                <w:tcPr>
                  <w:tcW w:w="795" w:type="dxa"/>
                  <w:noWrap w:val="0"/>
                  <w:vAlign w:val="center"/>
                </w:tcPr>
                <w:p w14:paraId="07422D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90</w:t>
                  </w:r>
                </w:p>
              </w:tc>
              <w:tc>
                <w:tcPr>
                  <w:tcW w:w="798" w:type="dxa"/>
                  <w:noWrap w:val="0"/>
                  <w:vAlign w:val="center"/>
                </w:tcPr>
                <w:p w14:paraId="563DCE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99.9</w:t>
                  </w:r>
                </w:p>
              </w:tc>
              <w:tc>
                <w:tcPr>
                  <w:tcW w:w="1009" w:type="dxa"/>
                  <w:noWrap w:val="0"/>
                  <w:vAlign w:val="center"/>
                </w:tcPr>
                <w:p w14:paraId="1B773E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15</w:t>
                  </w:r>
                  <w:r>
                    <w:rPr>
                      <w:rFonts w:hint="eastAsia" w:ascii="Times New Roman" w:hAnsi="Times New Roman" w:eastAsia="宋体" w:cs="Times New Roman"/>
                      <w:b w:val="0"/>
                      <w:bCs w:val="0"/>
                      <w:color w:val="auto"/>
                      <w:sz w:val="21"/>
                      <w:szCs w:val="21"/>
                      <w:highlight w:val="none"/>
                      <w:vertAlign w:val="baseline"/>
                      <w:lang w:val="en-US" w:eastAsia="zh-CN"/>
                    </w:rPr>
                    <w:t>0000</w:t>
                  </w:r>
                </w:p>
              </w:tc>
              <w:tc>
                <w:tcPr>
                  <w:tcW w:w="1009" w:type="dxa"/>
                  <w:noWrap w:val="0"/>
                  <w:vAlign w:val="center"/>
                </w:tcPr>
                <w:p w14:paraId="35669C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0.6</w:t>
                  </w:r>
                </w:p>
              </w:tc>
            </w:tr>
            <w:tr w14:paraId="676AC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945" w:type="dxa"/>
                  <w:vMerge w:val="continue"/>
                  <w:noWrap w:val="0"/>
                  <w:vAlign w:val="center"/>
                </w:tcPr>
                <w:p w14:paraId="3EEFAB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795" w:type="dxa"/>
                  <w:noWrap w:val="0"/>
                  <w:vAlign w:val="center"/>
                </w:tcPr>
                <w:p w14:paraId="3B2AF8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彩盒</w:t>
                  </w:r>
                </w:p>
              </w:tc>
              <w:tc>
                <w:tcPr>
                  <w:tcW w:w="955" w:type="dxa"/>
                  <w:noWrap w:val="0"/>
                  <w:vAlign w:val="center"/>
                </w:tcPr>
                <w:p w14:paraId="3BC8F6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3</w:t>
                  </w:r>
                </w:p>
              </w:tc>
              <w:tc>
                <w:tcPr>
                  <w:tcW w:w="1059" w:type="dxa"/>
                  <w:noWrap w:val="0"/>
                  <w:vAlign w:val="center"/>
                </w:tcPr>
                <w:p w14:paraId="16FA83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1.2</w:t>
                  </w:r>
                </w:p>
              </w:tc>
              <w:tc>
                <w:tcPr>
                  <w:tcW w:w="795" w:type="dxa"/>
                  <w:noWrap w:val="0"/>
                  <w:vAlign w:val="center"/>
                </w:tcPr>
                <w:p w14:paraId="4ABB6E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90</w:t>
                  </w:r>
                </w:p>
              </w:tc>
              <w:tc>
                <w:tcPr>
                  <w:tcW w:w="798" w:type="dxa"/>
                  <w:noWrap w:val="0"/>
                  <w:vAlign w:val="center"/>
                </w:tcPr>
                <w:p w14:paraId="2DDA67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99.9</w:t>
                  </w:r>
                </w:p>
              </w:tc>
              <w:tc>
                <w:tcPr>
                  <w:tcW w:w="1009" w:type="dxa"/>
                  <w:noWrap w:val="0"/>
                  <w:vAlign w:val="center"/>
                </w:tcPr>
                <w:p w14:paraId="2E509E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13</w:t>
                  </w:r>
                  <w:r>
                    <w:rPr>
                      <w:rFonts w:hint="eastAsia" w:ascii="Times New Roman" w:hAnsi="Times New Roman" w:eastAsia="宋体" w:cs="Times New Roman"/>
                      <w:b w:val="0"/>
                      <w:bCs w:val="0"/>
                      <w:color w:val="auto"/>
                      <w:sz w:val="21"/>
                      <w:szCs w:val="21"/>
                      <w:highlight w:val="none"/>
                      <w:vertAlign w:val="baseline"/>
                      <w:lang w:val="en-US" w:eastAsia="zh-CN"/>
                    </w:rPr>
                    <w:t>0000</w:t>
                  </w:r>
                </w:p>
              </w:tc>
              <w:tc>
                <w:tcPr>
                  <w:tcW w:w="1009" w:type="dxa"/>
                  <w:noWrap w:val="0"/>
                  <w:vAlign w:val="center"/>
                </w:tcPr>
                <w:p w14:paraId="3256A0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0.52</w:t>
                  </w:r>
                </w:p>
              </w:tc>
            </w:tr>
            <w:tr w14:paraId="27F54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945" w:type="dxa"/>
                  <w:noWrap w:val="0"/>
                  <w:vAlign w:val="center"/>
                </w:tcPr>
                <w:p w14:paraId="540BFA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水性</w:t>
                  </w:r>
                </w:p>
                <w:p w14:paraId="312E08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光油</w:t>
                  </w:r>
                </w:p>
              </w:tc>
              <w:tc>
                <w:tcPr>
                  <w:tcW w:w="795" w:type="dxa"/>
                  <w:noWrap w:val="0"/>
                  <w:vAlign w:val="center"/>
                </w:tcPr>
                <w:p w14:paraId="0FFAFB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纸卡+彩盒</w:t>
                  </w:r>
                </w:p>
              </w:tc>
              <w:tc>
                <w:tcPr>
                  <w:tcW w:w="955" w:type="dxa"/>
                  <w:noWrap w:val="0"/>
                  <w:vAlign w:val="center"/>
                </w:tcPr>
                <w:p w14:paraId="5B660C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6</w:t>
                  </w:r>
                </w:p>
              </w:tc>
              <w:tc>
                <w:tcPr>
                  <w:tcW w:w="1059" w:type="dxa"/>
                  <w:noWrap w:val="0"/>
                  <w:vAlign w:val="center"/>
                </w:tcPr>
                <w:p w14:paraId="2D8E65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1.02</w:t>
                  </w:r>
                </w:p>
              </w:tc>
              <w:tc>
                <w:tcPr>
                  <w:tcW w:w="795" w:type="dxa"/>
                  <w:noWrap w:val="0"/>
                  <w:vAlign w:val="center"/>
                </w:tcPr>
                <w:p w14:paraId="5D5D60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90</w:t>
                  </w:r>
                </w:p>
              </w:tc>
              <w:tc>
                <w:tcPr>
                  <w:tcW w:w="798" w:type="dxa"/>
                  <w:noWrap w:val="0"/>
                  <w:vAlign w:val="center"/>
                </w:tcPr>
                <w:p w14:paraId="2BAF24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89.3</w:t>
                  </w:r>
                </w:p>
              </w:tc>
              <w:tc>
                <w:tcPr>
                  <w:tcW w:w="1009" w:type="dxa"/>
                  <w:noWrap w:val="0"/>
                  <w:vAlign w:val="center"/>
                </w:tcPr>
                <w:p w14:paraId="1B50B4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41</w:t>
                  </w:r>
                  <w:r>
                    <w:rPr>
                      <w:rFonts w:hint="eastAsia" w:ascii="Times New Roman" w:hAnsi="Times New Roman" w:eastAsia="宋体" w:cs="Times New Roman"/>
                      <w:b w:val="0"/>
                      <w:bCs w:val="0"/>
                      <w:color w:val="auto"/>
                      <w:sz w:val="21"/>
                      <w:szCs w:val="21"/>
                      <w:highlight w:val="none"/>
                      <w:vertAlign w:val="baseline"/>
                      <w:lang w:val="en-US" w:eastAsia="zh-CN"/>
                    </w:rPr>
                    <w:t>000</w:t>
                  </w:r>
                </w:p>
              </w:tc>
              <w:tc>
                <w:tcPr>
                  <w:tcW w:w="1009" w:type="dxa"/>
                  <w:noWrap w:val="0"/>
                  <w:vAlign w:val="center"/>
                </w:tcPr>
                <w:p w14:paraId="647892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0.</w:t>
                  </w:r>
                  <w:r>
                    <w:rPr>
                      <w:rFonts w:hint="eastAsia" w:ascii="Times New Roman" w:hAnsi="Times New Roman" w:cs="Times New Roman"/>
                      <w:b w:val="0"/>
                      <w:bCs w:val="0"/>
                      <w:color w:val="auto"/>
                      <w:sz w:val="21"/>
                      <w:szCs w:val="21"/>
                      <w:highlight w:val="none"/>
                      <w:vertAlign w:val="baseline"/>
                      <w:lang w:val="en-US" w:eastAsia="zh-CN"/>
                    </w:rPr>
                    <w:t>31</w:t>
                  </w:r>
                </w:p>
              </w:tc>
            </w:tr>
            <w:tr w14:paraId="2999E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7365" w:type="dxa"/>
                  <w:gridSpan w:val="8"/>
                  <w:noWrap w:val="0"/>
                  <w:vAlign w:val="center"/>
                </w:tcPr>
                <w:p w14:paraId="5B81D8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注：项目大豆油墨和水性光油理论计算值分别为1.12 t/a和0.31 t/a。考虑到实际生产中存在调配损耗、墨辊残留、清洗带出、飞溅等损失，本次评价大豆油墨和水性光油分别按1.5 t/a和0.4 t/a为准进行源强核算。</w:t>
                  </w:r>
                </w:p>
              </w:tc>
            </w:tr>
          </w:tbl>
          <w:p w14:paraId="7A3F0A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2" w:firstLineChars="200"/>
              <w:jc w:val="center"/>
              <w:textAlignment w:val="auto"/>
              <w:rPr>
                <w:rFonts w:hint="eastAsia" w:ascii="Times New Roman" w:hAnsi="Times New Roman" w:eastAsia="宋体" w:cs="Times New Roman"/>
                <w:b/>
                <w:bCs/>
                <w:color w:val="auto"/>
                <w:sz w:val="21"/>
                <w:szCs w:val="21"/>
                <w:highlight w:val="none"/>
                <w:vertAlign w:val="baseline"/>
                <w:lang w:val="en-US" w:eastAsia="zh-CN"/>
              </w:rPr>
            </w:pPr>
          </w:p>
          <w:p w14:paraId="2F8873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计算过程</w:t>
            </w:r>
            <w:r>
              <w:rPr>
                <w:rFonts w:hint="eastAsia" w:ascii="Times New Roman" w:hAnsi="Times New Roman" w:eastAsia="宋体" w:cs="Times New Roman"/>
                <w:b w:val="0"/>
                <w:bCs w:val="0"/>
                <w:color w:val="auto"/>
                <w:sz w:val="21"/>
                <w:szCs w:val="21"/>
                <w:highlight w:val="none"/>
                <w:vertAlign w:val="baseline"/>
                <w:lang w:val="en-US" w:eastAsia="zh-CN"/>
              </w:rPr>
              <w:t>:</w:t>
            </w:r>
          </w:p>
          <w:p w14:paraId="379926C9">
            <w:pPr>
              <w:pStyle w:val="18"/>
              <w:keepNext w:val="0"/>
              <w:keepLines w:val="0"/>
              <w:suppressLineNumbers w:val="0"/>
              <w:spacing w:beforeAutospacing="0" w:afterAutospacing="0"/>
              <w:ind w:left="0"/>
              <w:rPr>
                <w:rFonts w:hint="default" w:ascii="Times New Roman" w:hAnsi="Times New Roman" w:cs="Times New Roman"/>
                <w:b/>
                <w:bCs/>
                <w:color w:val="auto"/>
                <w:highlight w:val="none"/>
                <w:lang w:val="en-US" w:eastAsia="zh-CN"/>
              </w:rPr>
            </w:pPr>
            <w:r>
              <w:rPr>
                <w:rFonts w:hint="eastAsia" w:ascii="Times New Roman" w:hAnsi="Times New Roman" w:eastAsia="宋体" w:cs="Times New Roman"/>
                <w:b/>
                <w:bCs/>
                <w:color w:val="auto"/>
                <w:sz w:val="21"/>
                <w:szCs w:val="21"/>
                <w:highlight w:val="none"/>
                <w:vertAlign w:val="baseline"/>
                <w:lang w:val="en-US" w:eastAsia="zh-CN"/>
              </w:rPr>
              <w:t>大豆油墨（产品</w:t>
            </w:r>
            <w:r>
              <w:rPr>
                <w:rFonts w:hint="eastAsia" w:cs="Times New Roman"/>
                <w:b/>
                <w:bCs/>
                <w:color w:val="auto"/>
                <w:sz w:val="21"/>
                <w:szCs w:val="21"/>
                <w:highlight w:val="none"/>
                <w:vertAlign w:val="baseline"/>
                <w:lang w:val="en-US" w:eastAsia="zh-CN"/>
              </w:rPr>
              <w:t>纸卡和彩盒</w:t>
            </w:r>
            <w:r>
              <w:rPr>
                <w:rFonts w:hint="eastAsia" w:ascii="Times New Roman" w:hAnsi="Times New Roman" w:eastAsia="宋体" w:cs="Times New Roman"/>
                <w:b/>
                <w:bCs/>
                <w:color w:val="auto"/>
                <w:sz w:val="21"/>
                <w:szCs w:val="21"/>
                <w:highlight w:val="none"/>
                <w:vertAlign w:val="baseline"/>
                <w:lang w:val="en-US" w:eastAsia="zh-CN"/>
              </w:rPr>
              <w:t>使用该种油墨）</w:t>
            </w:r>
          </w:p>
          <w:p w14:paraId="337851AD">
            <w:pPr>
              <w:pStyle w:val="18"/>
              <w:keepNext w:val="0"/>
              <w:keepLines w:val="0"/>
              <w:pageBreakBefore w:val="0"/>
              <w:suppressLineNumbers w:val="0"/>
              <w:kinsoku/>
              <w:wordWrap/>
              <w:overflowPunct/>
              <w:topLinePunct w:val="0"/>
              <w:autoSpaceDE/>
              <w:autoSpaceDN/>
              <w:bidi w:val="0"/>
              <w:adjustRightInd/>
              <w:spacing w:beforeAutospacing="0" w:afterAutospacing="0" w:line="240" w:lineRule="auto"/>
              <w:ind w:left="0"/>
              <w:textAlignment w:val="auto"/>
              <w:rPr>
                <w:rFonts w:hint="eastAsia"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sz w:val="21"/>
                <w:szCs w:val="21"/>
                <w:highlight w:val="none"/>
                <w:vertAlign w:val="baseline"/>
                <w:lang w:val="en-US" w:eastAsia="zh-CN"/>
              </w:rPr>
              <w:t xml:space="preserve">  </w:t>
            </w:r>
            <w:r>
              <w:rPr>
                <w:rFonts w:hint="eastAsia" w:ascii="Times New Roman" w:hAnsi="Times New Roman" w:eastAsia="宋体" w:cs="Times New Roman"/>
                <w:b w:val="0"/>
                <w:bCs w:val="0"/>
                <w:color w:val="auto"/>
                <w:kern w:val="2"/>
                <w:sz w:val="21"/>
                <w:szCs w:val="21"/>
                <w:highlight w:val="none"/>
                <w:vertAlign w:val="baseline"/>
                <w:lang w:val="en-US" w:eastAsia="zh-CN" w:bidi="ar-SA"/>
              </w:rPr>
              <w:t xml:space="preserve"> </w:t>
            </w:r>
            <w:r>
              <w:rPr>
                <w:rFonts w:hint="default" w:ascii="Times New Roman" w:hAnsi="Times New Roman" w:eastAsia="宋体" w:cs="Times New Roman"/>
                <w:b w:val="0"/>
                <w:bCs w:val="0"/>
                <w:color w:val="auto"/>
                <w:kern w:val="2"/>
                <w:sz w:val="21"/>
                <w:szCs w:val="21"/>
                <w:highlight w:val="none"/>
                <w:vertAlign w:val="baseline"/>
                <w:lang w:val="en-US" w:eastAsia="zh-CN" w:bidi="ar-SA"/>
              </w:rPr>
              <w:t>①</w:t>
            </w:r>
            <w:r>
              <w:rPr>
                <w:rFonts w:hint="eastAsia" w:ascii="Times New Roman" w:hAnsi="Times New Roman" w:eastAsia="宋体" w:cs="Times New Roman"/>
                <w:b w:val="0"/>
                <w:bCs w:val="0"/>
                <w:color w:val="auto"/>
                <w:kern w:val="2"/>
                <w:sz w:val="21"/>
                <w:szCs w:val="21"/>
                <w:highlight w:val="none"/>
                <w:vertAlign w:val="baseline"/>
                <w:lang w:val="en-US" w:eastAsia="zh-CN" w:bidi="ar-SA"/>
              </w:rPr>
              <w:t>纸卡油墨消耗量A</w:t>
            </w:r>
            <w:r>
              <w:rPr>
                <w:rFonts w:hint="eastAsia" w:ascii="Times New Roman" w:hAnsi="Times New Roman" w:eastAsia="宋体" w:cs="Times New Roman"/>
                <w:b w:val="0"/>
                <w:bCs w:val="0"/>
                <w:color w:val="auto"/>
                <w:kern w:val="2"/>
                <w:sz w:val="21"/>
                <w:szCs w:val="21"/>
                <w:highlight w:val="none"/>
                <w:vertAlign w:val="subscript"/>
                <w:lang w:val="en-US" w:eastAsia="zh-CN" w:bidi="ar-SA"/>
              </w:rPr>
              <w:t>纸卡</w:t>
            </w:r>
            <w:r>
              <w:rPr>
                <w:rFonts w:hint="eastAsia" w:ascii="Times New Roman" w:hAnsi="Times New Roman" w:eastAsia="宋体" w:cs="Times New Roman"/>
                <w:b w:val="0"/>
                <w:bCs w:val="0"/>
                <w:color w:val="auto"/>
                <w:kern w:val="2"/>
                <w:sz w:val="21"/>
                <w:szCs w:val="21"/>
                <w:highlight w:val="none"/>
                <w:vertAlign w:val="baseline"/>
                <w:lang w:val="en-US" w:eastAsia="zh-CN" w:bidi="ar-SA"/>
              </w:rPr>
              <w:t>= 3×</w:t>
            </w:r>
            <w:r>
              <w:rPr>
                <w:rFonts w:hint="eastAsia" w:cs="Times New Roman"/>
                <w:b w:val="0"/>
                <w:bCs w:val="0"/>
                <w:color w:val="auto"/>
                <w:kern w:val="2"/>
                <w:sz w:val="21"/>
                <w:szCs w:val="21"/>
                <w:highlight w:val="none"/>
                <w:vertAlign w:val="baseline"/>
                <w:lang w:val="en-US" w:eastAsia="zh-CN" w:bidi="ar-SA"/>
              </w:rPr>
              <w:t>10</w:t>
            </w:r>
            <w:r>
              <w:rPr>
                <w:rFonts w:hint="eastAsia" w:cs="Times New Roman"/>
                <w:b w:val="0"/>
                <w:bCs w:val="0"/>
                <w:color w:val="auto"/>
                <w:kern w:val="2"/>
                <w:sz w:val="21"/>
                <w:szCs w:val="21"/>
                <w:highlight w:val="none"/>
                <w:vertAlign w:val="superscript"/>
                <w:lang w:val="en-US" w:eastAsia="zh-CN" w:bidi="ar-SA"/>
              </w:rPr>
              <w:t>-4</w:t>
            </w:r>
            <w:r>
              <w:rPr>
                <w:rFonts w:hint="eastAsia" w:ascii="Times New Roman" w:hAnsi="Times New Roman" w:eastAsia="宋体" w:cs="Times New Roman"/>
                <w:b w:val="0"/>
                <w:bCs w:val="0"/>
                <w:color w:val="auto"/>
                <w:kern w:val="2"/>
                <w:sz w:val="21"/>
                <w:szCs w:val="21"/>
                <w:highlight w:val="none"/>
                <w:vertAlign w:val="baseline"/>
                <w:lang w:val="en-US" w:eastAsia="zh-CN" w:bidi="ar-SA"/>
              </w:rPr>
              <w:t>×1.2÷（90%×99.9%）×</w:t>
            </w:r>
            <w:r>
              <w:rPr>
                <w:rFonts w:hint="eastAsia" w:ascii="Times New Roman" w:hAnsi="Times New Roman" w:cs="Times New Roman"/>
                <w:b w:val="0"/>
                <w:bCs w:val="0"/>
                <w:color w:val="auto"/>
                <w:kern w:val="2"/>
                <w:sz w:val="21"/>
                <w:szCs w:val="21"/>
                <w:highlight w:val="none"/>
                <w:vertAlign w:val="baseline"/>
                <w:lang w:val="en-US" w:eastAsia="zh-CN" w:bidi="ar-SA"/>
              </w:rPr>
              <w:t>15</w:t>
            </w:r>
            <w:r>
              <w:rPr>
                <w:rFonts w:hint="eastAsia" w:ascii="Times New Roman" w:hAnsi="Times New Roman" w:eastAsia="宋体" w:cs="Times New Roman"/>
                <w:b w:val="0"/>
                <w:bCs w:val="0"/>
                <w:color w:val="auto"/>
                <w:kern w:val="2"/>
                <w:sz w:val="21"/>
                <w:szCs w:val="21"/>
                <w:highlight w:val="none"/>
                <w:vertAlign w:val="baseline"/>
                <w:lang w:val="en-US" w:eastAsia="zh-CN" w:bidi="ar-SA"/>
              </w:rPr>
              <w:t>0000×</w:t>
            </w:r>
            <w:r>
              <w:rPr>
                <w:rFonts w:hint="eastAsia" w:cs="Times New Roman"/>
                <w:b w:val="0"/>
                <w:bCs w:val="0"/>
                <w:color w:val="auto"/>
                <w:kern w:val="2"/>
                <w:sz w:val="21"/>
                <w:szCs w:val="21"/>
                <w:highlight w:val="none"/>
                <w:vertAlign w:val="baseline"/>
                <w:lang w:val="en-US" w:eastAsia="zh-CN" w:bidi="ar-SA"/>
              </w:rPr>
              <w:t>10</w:t>
            </w:r>
            <w:r>
              <w:rPr>
                <w:rFonts w:hint="eastAsia" w:cs="Times New Roman"/>
                <w:b w:val="0"/>
                <w:bCs w:val="0"/>
                <w:color w:val="auto"/>
                <w:kern w:val="2"/>
                <w:sz w:val="21"/>
                <w:szCs w:val="21"/>
                <w:highlight w:val="none"/>
                <w:vertAlign w:val="superscript"/>
                <w:lang w:val="en-US" w:eastAsia="zh-CN" w:bidi="ar-SA"/>
              </w:rPr>
              <w:t>4</w:t>
            </w:r>
            <w:r>
              <w:rPr>
                <w:rFonts w:hint="eastAsia" w:ascii="Times New Roman" w:hAnsi="Times New Roman" w:eastAsia="宋体" w:cs="Times New Roman"/>
                <w:b w:val="0"/>
                <w:bCs w:val="0"/>
                <w:color w:val="auto"/>
                <w:kern w:val="2"/>
                <w:sz w:val="21"/>
                <w:szCs w:val="21"/>
                <w:highlight w:val="none"/>
                <w:vertAlign w:val="baseline"/>
                <w:lang w:val="en-US" w:eastAsia="zh-CN" w:bidi="ar-SA"/>
              </w:rPr>
              <w:t>=</w:t>
            </w:r>
            <w:r>
              <w:rPr>
                <w:rFonts w:hint="eastAsia" w:ascii="Times New Roman" w:hAnsi="Times New Roman" w:cs="Times New Roman"/>
                <w:b w:val="0"/>
                <w:bCs w:val="0"/>
                <w:color w:val="auto"/>
                <w:kern w:val="2"/>
                <w:sz w:val="21"/>
                <w:szCs w:val="21"/>
                <w:highlight w:val="none"/>
                <w:vertAlign w:val="baseline"/>
                <w:lang w:val="en-US" w:eastAsia="zh-CN" w:bidi="ar-SA"/>
              </w:rPr>
              <w:t>6</w:t>
            </w:r>
            <w:r>
              <w:rPr>
                <w:rFonts w:hint="eastAsia" w:ascii="Times New Roman" w:hAnsi="Times New Roman" w:eastAsia="宋体" w:cs="Times New Roman"/>
                <w:b w:val="0"/>
                <w:bCs w:val="0"/>
                <w:color w:val="auto"/>
                <w:kern w:val="2"/>
                <w:sz w:val="21"/>
                <w:szCs w:val="21"/>
                <w:highlight w:val="none"/>
                <w:vertAlign w:val="baseline"/>
                <w:lang w:val="en-US" w:eastAsia="zh-CN" w:bidi="ar-SA"/>
              </w:rPr>
              <w:t>0</w:t>
            </w:r>
            <w:r>
              <w:rPr>
                <w:rFonts w:hint="eastAsia" w:ascii="Times New Roman" w:hAnsi="Times New Roman" w:cs="Times New Roman"/>
                <w:b w:val="0"/>
                <w:bCs w:val="0"/>
                <w:color w:val="auto"/>
                <w:kern w:val="2"/>
                <w:sz w:val="21"/>
                <w:szCs w:val="21"/>
                <w:highlight w:val="none"/>
                <w:vertAlign w:val="baseline"/>
                <w:lang w:val="en-US" w:eastAsia="zh-CN" w:bidi="ar-SA"/>
              </w:rPr>
              <w:t>06</w:t>
            </w:r>
            <w:r>
              <w:rPr>
                <w:rFonts w:hint="eastAsia" w:ascii="Times New Roman" w:hAnsi="Times New Roman" w:eastAsia="宋体" w:cs="Times New Roman"/>
                <w:b w:val="0"/>
                <w:bCs w:val="0"/>
                <w:color w:val="auto"/>
                <w:kern w:val="2"/>
                <w:sz w:val="21"/>
                <w:szCs w:val="21"/>
                <w:highlight w:val="none"/>
                <w:vertAlign w:val="baseline"/>
                <w:lang w:val="en-US" w:eastAsia="zh-CN" w:bidi="ar-SA"/>
              </w:rPr>
              <w:t>01g，即</w:t>
            </w:r>
            <w:r>
              <w:rPr>
                <w:rFonts w:hint="eastAsia" w:ascii="Times New Roman" w:hAnsi="Times New Roman" w:cs="Times New Roman"/>
                <w:b w:val="0"/>
                <w:bCs w:val="0"/>
                <w:color w:val="auto"/>
                <w:kern w:val="2"/>
                <w:sz w:val="21"/>
                <w:szCs w:val="21"/>
                <w:highlight w:val="none"/>
                <w:vertAlign w:val="baseline"/>
                <w:lang w:val="en-US" w:eastAsia="zh-CN" w:bidi="ar-SA"/>
              </w:rPr>
              <w:t>0.6</w:t>
            </w:r>
            <w:r>
              <w:rPr>
                <w:rFonts w:hint="eastAsia" w:ascii="Times New Roman" w:hAnsi="Times New Roman" w:eastAsia="宋体" w:cs="Times New Roman"/>
                <w:b w:val="0"/>
                <w:bCs w:val="0"/>
                <w:color w:val="auto"/>
                <w:kern w:val="2"/>
                <w:sz w:val="21"/>
                <w:szCs w:val="21"/>
                <w:highlight w:val="none"/>
                <w:vertAlign w:val="baseline"/>
                <w:lang w:val="en-US" w:eastAsia="zh-CN" w:bidi="ar-SA"/>
              </w:rPr>
              <w:t>t/a。</w:t>
            </w:r>
          </w:p>
          <w:p w14:paraId="211BC611">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kern w:val="2"/>
                <w:sz w:val="21"/>
                <w:szCs w:val="21"/>
                <w:highlight w:val="none"/>
                <w:vertAlign w:val="baseline"/>
                <w:lang w:val="en-US" w:eastAsia="zh-CN" w:bidi="ar-SA"/>
              </w:rPr>
              <w:t xml:space="preserve">   </w:t>
            </w:r>
            <w:r>
              <w:rPr>
                <w:rFonts w:hint="default" w:ascii="Times New Roman" w:hAnsi="Times New Roman" w:eastAsia="宋体" w:cs="Times New Roman"/>
                <w:b w:val="0"/>
                <w:bCs w:val="0"/>
                <w:color w:val="auto"/>
                <w:kern w:val="2"/>
                <w:sz w:val="21"/>
                <w:szCs w:val="21"/>
                <w:highlight w:val="none"/>
                <w:vertAlign w:val="baseline"/>
                <w:lang w:val="en-US" w:eastAsia="zh-CN" w:bidi="ar-SA"/>
              </w:rPr>
              <w:t>②</w:t>
            </w:r>
            <w:r>
              <w:rPr>
                <w:rFonts w:hint="eastAsia" w:ascii="Times New Roman" w:hAnsi="Times New Roman" w:eastAsia="宋体" w:cs="Times New Roman"/>
                <w:b w:val="0"/>
                <w:bCs w:val="0"/>
                <w:color w:val="auto"/>
                <w:kern w:val="2"/>
                <w:sz w:val="21"/>
                <w:szCs w:val="21"/>
                <w:highlight w:val="none"/>
                <w:vertAlign w:val="baseline"/>
                <w:lang w:val="en-US" w:eastAsia="zh-CN" w:bidi="ar-SA"/>
              </w:rPr>
              <w:t>彩盒油墨消耗量A</w:t>
            </w:r>
            <w:r>
              <w:rPr>
                <w:rFonts w:hint="eastAsia" w:ascii="Times New Roman" w:hAnsi="Times New Roman" w:eastAsia="宋体" w:cs="Times New Roman"/>
                <w:b w:val="0"/>
                <w:bCs w:val="0"/>
                <w:color w:val="auto"/>
                <w:kern w:val="2"/>
                <w:sz w:val="21"/>
                <w:szCs w:val="21"/>
                <w:highlight w:val="none"/>
                <w:vertAlign w:val="subscript"/>
                <w:lang w:val="en-US" w:eastAsia="zh-CN" w:bidi="ar-SA"/>
              </w:rPr>
              <w:t>彩盒</w:t>
            </w:r>
            <w:r>
              <w:rPr>
                <w:rFonts w:hint="eastAsia" w:ascii="Times New Roman" w:hAnsi="Times New Roman" w:eastAsia="宋体" w:cs="Times New Roman"/>
                <w:b w:val="0"/>
                <w:bCs w:val="0"/>
                <w:color w:val="auto"/>
                <w:kern w:val="2"/>
                <w:sz w:val="21"/>
                <w:szCs w:val="21"/>
                <w:highlight w:val="none"/>
                <w:vertAlign w:val="baseline"/>
                <w:lang w:val="en-US" w:eastAsia="zh-CN" w:bidi="ar-SA"/>
              </w:rPr>
              <w:t>=3×</w:t>
            </w:r>
            <w:r>
              <w:rPr>
                <w:rFonts w:hint="eastAsia" w:cs="Times New Roman"/>
                <w:b w:val="0"/>
                <w:bCs w:val="0"/>
                <w:color w:val="auto"/>
                <w:kern w:val="2"/>
                <w:sz w:val="21"/>
                <w:szCs w:val="21"/>
                <w:highlight w:val="none"/>
                <w:vertAlign w:val="baseline"/>
                <w:lang w:val="en-US" w:eastAsia="zh-CN" w:bidi="ar-SA"/>
              </w:rPr>
              <w:t>10</w:t>
            </w:r>
            <w:r>
              <w:rPr>
                <w:rFonts w:hint="eastAsia" w:cs="Times New Roman"/>
                <w:b w:val="0"/>
                <w:bCs w:val="0"/>
                <w:color w:val="auto"/>
                <w:kern w:val="2"/>
                <w:sz w:val="21"/>
                <w:szCs w:val="21"/>
                <w:highlight w:val="none"/>
                <w:vertAlign w:val="superscript"/>
                <w:lang w:val="en-US" w:eastAsia="zh-CN" w:bidi="ar-SA"/>
              </w:rPr>
              <w:t>-4</w:t>
            </w:r>
            <w:r>
              <w:rPr>
                <w:rFonts w:hint="eastAsia" w:ascii="Times New Roman" w:hAnsi="Times New Roman" w:eastAsia="宋体" w:cs="Times New Roman"/>
                <w:b w:val="0"/>
                <w:bCs w:val="0"/>
                <w:color w:val="auto"/>
                <w:kern w:val="2"/>
                <w:sz w:val="21"/>
                <w:szCs w:val="21"/>
                <w:highlight w:val="none"/>
                <w:vertAlign w:val="baseline"/>
                <w:lang w:val="en-US" w:eastAsia="zh-CN" w:bidi="ar-SA"/>
              </w:rPr>
              <w:t>×1.2÷（90%×99.9%）×</w:t>
            </w:r>
            <w:r>
              <w:rPr>
                <w:rFonts w:hint="eastAsia" w:ascii="Times New Roman" w:hAnsi="Times New Roman" w:cs="Times New Roman"/>
                <w:b w:val="0"/>
                <w:bCs w:val="0"/>
                <w:color w:val="auto"/>
                <w:kern w:val="2"/>
                <w:sz w:val="21"/>
                <w:szCs w:val="21"/>
                <w:highlight w:val="none"/>
                <w:vertAlign w:val="baseline"/>
                <w:lang w:val="en-US" w:eastAsia="zh-CN" w:bidi="ar-SA"/>
              </w:rPr>
              <w:t>13</w:t>
            </w:r>
            <w:r>
              <w:rPr>
                <w:rFonts w:hint="eastAsia" w:ascii="Times New Roman" w:hAnsi="Times New Roman" w:eastAsia="宋体" w:cs="Times New Roman"/>
                <w:b w:val="0"/>
                <w:bCs w:val="0"/>
                <w:color w:val="auto"/>
                <w:kern w:val="2"/>
                <w:sz w:val="21"/>
                <w:szCs w:val="21"/>
                <w:highlight w:val="none"/>
                <w:vertAlign w:val="baseline"/>
                <w:lang w:val="en-US" w:eastAsia="zh-CN" w:bidi="ar-SA"/>
              </w:rPr>
              <w:t>0000×</w:t>
            </w:r>
            <w:r>
              <w:rPr>
                <w:rFonts w:hint="eastAsia" w:cs="Times New Roman"/>
                <w:b w:val="0"/>
                <w:bCs w:val="0"/>
                <w:color w:val="auto"/>
                <w:kern w:val="2"/>
                <w:sz w:val="21"/>
                <w:szCs w:val="21"/>
                <w:highlight w:val="none"/>
                <w:vertAlign w:val="baseline"/>
                <w:lang w:val="en-US" w:eastAsia="zh-CN" w:bidi="ar-SA"/>
              </w:rPr>
              <w:t>10</w:t>
            </w:r>
            <w:r>
              <w:rPr>
                <w:rFonts w:hint="eastAsia" w:cs="Times New Roman"/>
                <w:b w:val="0"/>
                <w:bCs w:val="0"/>
                <w:color w:val="auto"/>
                <w:kern w:val="2"/>
                <w:sz w:val="21"/>
                <w:szCs w:val="21"/>
                <w:highlight w:val="none"/>
                <w:vertAlign w:val="superscript"/>
                <w:lang w:val="en-US" w:eastAsia="zh-CN" w:bidi="ar-SA"/>
              </w:rPr>
              <w:t>4</w:t>
            </w:r>
            <w:r>
              <w:rPr>
                <w:rFonts w:hint="eastAsia" w:ascii="Times New Roman" w:hAnsi="Times New Roman" w:eastAsia="宋体" w:cs="Times New Roman"/>
                <w:b w:val="0"/>
                <w:bCs w:val="0"/>
                <w:color w:val="auto"/>
                <w:kern w:val="2"/>
                <w:sz w:val="21"/>
                <w:szCs w:val="21"/>
                <w:highlight w:val="none"/>
                <w:vertAlign w:val="baseline"/>
                <w:lang w:val="en-US" w:eastAsia="zh-CN" w:bidi="ar-SA"/>
              </w:rPr>
              <w:t>=</w:t>
            </w:r>
            <w:r>
              <w:rPr>
                <w:rFonts w:hint="eastAsia" w:ascii="Times New Roman" w:hAnsi="Times New Roman" w:cs="Times New Roman"/>
                <w:b w:val="0"/>
                <w:bCs w:val="0"/>
                <w:color w:val="auto"/>
                <w:kern w:val="2"/>
                <w:sz w:val="21"/>
                <w:szCs w:val="21"/>
                <w:highlight w:val="none"/>
                <w:vertAlign w:val="baseline"/>
                <w:lang w:val="en-US" w:eastAsia="zh-CN" w:bidi="ar-SA"/>
              </w:rPr>
              <w:t>52</w:t>
            </w:r>
            <w:r>
              <w:rPr>
                <w:rFonts w:hint="eastAsia" w:ascii="Times New Roman" w:hAnsi="Times New Roman" w:eastAsia="宋体" w:cs="Times New Roman"/>
                <w:b w:val="0"/>
                <w:bCs w:val="0"/>
                <w:color w:val="auto"/>
                <w:kern w:val="2"/>
                <w:sz w:val="21"/>
                <w:szCs w:val="21"/>
                <w:highlight w:val="none"/>
                <w:vertAlign w:val="baseline"/>
                <w:lang w:val="en-US" w:eastAsia="zh-CN" w:bidi="ar-SA"/>
              </w:rPr>
              <w:t>10</w:t>
            </w:r>
            <w:r>
              <w:rPr>
                <w:rFonts w:hint="eastAsia" w:ascii="Times New Roman" w:hAnsi="Times New Roman" w:cs="Times New Roman"/>
                <w:b w:val="0"/>
                <w:bCs w:val="0"/>
                <w:color w:val="auto"/>
                <w:kern w:val="2"/>
                <w:sz w:val="21"/>
                <w:szCs w:val="21"/>
                <w:highlight w:val="none"/>
                <w:vertAlign w:val="baseline"/>
                <w:lang w:val="en-US" w:eastAsia="zh-CN" w:bidi="ar-SA"/>
              </w:rPr>
              <w:t>2</w:t>
            </w:r>
            <w:r>
              <w:rPr>
                <w:rFonts w:hint="eastAsia" w:ascii="Times New Roman" w:hAnsi="Times New Roman" w:eastAsia="宋体" w:cs="Times New Roman"/>
                <w:b w:val="0"/>
                <w:bCs w:val="0"/>
                <w:color w:val="auto"/>
                <w:kern w:val="2"/>
                <w:sz w:val="21"/>
                <w:szCs w:val="21"/>
                <w:highlight w:val="none"/>
                <w:vertAlign w:val="baseline"/>
                <w:lang w:val="en-US" w:eastAsia="zh-CN" w:bidi="ar-SA"/>
              </w:rPr>
              <w:t>1g，即</w:t>
            </w:r>
            <w:r>
              <w:rPr>
                <w:rFonts w:hint="eastAsia" w:ascii="Times New Roman" w:hAnsi="Times New Roman" w:cs="Times New Roman"/>
                <w:b w:val="0"/>
                <w:bCs w:val="0"/>
                <w:color w:val="auto"/>
                <w:kern w:val="2"/>
                <w:sz w:val="21"/>
                <w:szCs w:val="21"/>
                <w:highlight w:val="none"/>
                <w:vertAlign w:val="baseline"/>
                <w:lang w:val="en-US" w:eastAsia="zh-CN" w:bidi="ar-SA"/>
              </w:rPr>
              <w:t>0.52</w:t>
            </w:r>
            <w:r>
              <w:rPr>
                <w:rFonts w:hint="eastAsia" w:ascii="Times New Roman" w:hAnsi="Times New Roman" w:eastAsia="宋体" w:cs="Times New Roman"/>
                <w:b w:val="0"/>
                <w:bCs w:val="0"/>
                <w:color w:val="auto"/>
                <w:kern w:val="2"/>
                <w:sz w:val="21"/>
                <w:szCs w:val="21"/>
                <w:highlight w:val="none"/>
                <w:vertAlign w:val="baseline"/>
                <w:lang w:val="en-US" w:eastAsia="zh-CN" w:bidi="ar-SA"/>
              </w:rPr>
              <w:t>t/a。</w:t>
            </w:r>
          </w:p>
          <w:p w14:paraId="7A17B9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cs="Times New Roman"/>
                <w:b/>
                <w:bCs/>
                <w:color w:val="auto"/>
                <w:sz w:val="21"/>
                <w:szCs w:val="21"/>
                <w:highlight w:val="none"/>
                <w:vertAlign w:val="baseline"/>
                <w:lang w:val="en-US" w:eastAsia="zh-CN"/>
              </w:rPr>
              <w:t>大豆油墨</w:t>
            </w:r>
            <w:r>
              <w:rPr>
                <w:rFonts w:hint="eastAsia" w:ascii="Times New Roman" w:hAnsi="Times New Roman" w:eastAsia="宋体" w:cs="Times New Roman"/>
                <w:b/>
                <w:bCs/>
                <w:color w:val="auto"/>
                <w:sz w:val="21"/>
                <w:szCs w:val="21"/>
                <w:highlight w:val="none"/>
                <w:vertAlign w:val="baseline"/>
                <w:lang w:val="en-US" w:eastAsia="zh-CN"/>
              </w:rPr>
              <w:t>（产品纸箱使用该种油墨）</w:t>
            </w:r>
          </w:p>
          <w:p w14:paraId="6567F63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需要上光的纸卡，占总纸卡的10%，上光面积占表面积的100%，因此纸卡的上光面积0.15×0.05×2×</w:t>
            </w:r>
            <w:r>
              <w:rPr>
                <w:rFonts w:hint="eastAsia" w:ascii="Times New Roman" w:hAnsi="Times New Roman" w:cs="Times New Roman"/>
                <w:b w:val="0"/>
                <w:bCs w:val="0"/>
                <w:color w:val="auto"/>
                <w:sz w:val="21"/>
                <w:szCs w:val="21"/>
                <w:highlight w:val="none"/>
                <w:vertAlign w:val="baseline"/>
                <w:lang w:val="en-US" w:eastAsia="zh-CN"/>
              </w:rPr>
              <w:t>1</w:t>
            </w:r>
            <w:r>
              <w:rPr>
                <w:rFonts w:hint="eastAsia" w:ascii="Times New Roman" w:hAnsi="Times New Roman" w:eastAsia="宋体" w:cs="Times New Roman"/>
                <w:b w:val="0"/>
                <w:bCs w:val="0"/>
                <w:color w:val="auto"/>
                <w:sz w:val="21"/>
                <w:szCs w:val="21"/>
                <w:highlight w:val="none"/>
                <w:vertAlign w:val="baseline"/>
                <w:lang w:val="en-US" w:eastAsia="zh-CN"/>
              </w:rPr>
              <w:t>0000000</w:t>
            </w:r>
            <w:r>
              <w:rPr>
                <w:rFonts w:hint="default" w:ascii="Times New Roman" w:hAnsi="Times New Roman" w:eastAsia="宋体" w:cs="Times New Roman"/>
                <w:b w:val="0"/>
                <w:bCs w:val="0"/>
                <w:color w:val="auto"/>
                <w:sz w:val="21"/>
                <w:szCs w:val="21"/>
                <w:highlight w:val="none"/>
                <w:vertAlign w:val="baseline"/>
                <w:lang w:val="en-US" w:eastAsia="zh-CN"/>
              </w:rPr>
              <w:t>×10%=</w:t>
            </w:r>
            <w:r>
              <w:rPr>
                <w:rFonts w:hint="eastAsia" w:ascii="Times New Roman" w:hAnsi="Times New Roman" w:cs="Times New Roman"/>
                <w:b w:val="0"/>
                <w:bCs w:val="0"/>
                <w:color w:val="auto"/>
                <w:sz w:val="21"/>
                <w:szCs w:val="21"/>
                <w:highlight w:val="none"/>
                <w:vertAlign w:val="baseline"/>
                <w:lang w:val="en-US" w:eastAsia="zh-CN"/>
              </w:rPr>
              <w:t>15</w:t>
            </w:r>
            <w:r>
              <w:rPr>
                <w:rFonts w:hint="default" w:ascii="Times New Roman" w:hAnsi="Times New Roman" w:eastAsia="宋体" w:cs="Times New Roman"/>
                <w:b w:val="0"/>
                <w:bCs w:val="0"/>
                <w:color w:val="auto"/>
                <w:sz w:val="21"/>
                <w:szCs w:val="21"/>
                <w:highlight w:val="none"/>
                <w:vertAlign w:val="baseline"/>
                <w:lang w:val="en-US" w:eastAsia="zh-CN"/>
              </w:rPr>
              <w:t>000m</w:t>
            </w:r>
            <w:r>
              <w:rPr>
                <w:rFonts w:hint="default" w:ascii="Times New Roman" w:hAnsi="Times New Roman" w:eastAsia="宋体" w:cs="Times New Roman"/>
                <w:b w:val="0"/>
                <w:bCs w:val="0"/>
                <w:color w:val="auto"/>
                <w:sz w:val="21"/>
                <w:szCs w:val="21"/>
                <w:highlight w:val="none"/>
                <w:vertAlign w:val="superscript"/>
                <w:lang w:val="en-US" w:eastAsia="zh-CN"/>
              </w:rPr>
              <w:t>2</w:t>
            </w:r>
            <w:r>
              <w:rPr>
                <w:rFonts w:hint="default" w:ascii="Times New Roman" w:hAnsi="Times New Roman" w:eastAsia="宋体" w:cs="Times New Roman"/>
                <w:b w:val="0"/>
                <w:bCs w:val="0"/>
                <w:color w:val="auto"/>
                <w:sz w:val="21"/>
                <w:szCs w:val="21"/>
                <w:highlight w:val="none"/>
                <w:vertAlign w:val="baseline"/>
                <w:lang w:val="en-US" w:eastAsia="zh-CN"/>
              </w:rPr>
              <w:t>；需要上光的彩盒，占总彩盒的</w:t>
            </w:r>
            <w:r>
              <w:rPr>
                <w:rFonts w:hint="eastAsia" w:ascii="Times New Roman" w:hAnsi="Times New Roman" w:eastAsia="宋体" w:cs="Times New Roman"/>
                <w:b w:val="0"/>
                <w:bCs w:val="0"/>
                <w:color w:val="auto"/>
                <w:sz w:val="21"/>
                <w:szCs w:val="21"/>
                <w:highlight w:val="none"/>
                <w:vertAlign w:val="baseline"/>
                <w:lang w:val="en-US" w:eastAsia="zh-CN"/>
              </w:rPr>
              <w:t>2</w:t>
            </w:r>
            <w:r>
              <w:rPr>
                <w:rFonts w:hint="default" w:ascii="Times New Roman" w:hAnsi="Times New Roman" w:eastAsia="宋体" w:cs="Times New Roman"/>
                <w:b w:val="0"/>
                <w:bCs w:val="0"/>
                <w:color w:val="auto"/>
                <w:sz w:val="21"/>
                <w:szCs w:val="21"/>
                <w:highlight w:val="none"/>
                <w:vertAlign w:val="baseline"/>
                <w:lang w:val="en-US" w:eastAsia="zh-CN"/>
              </w:rPr>
              <w:t>0%，上光面积占表面积的100%，因此彩盒的上光面积（0.2×0.15+0.2×0.1+0.15×0.1）</w:t>
            </w:r>
            <w:r>
              <w:rPr>
                <w:rFonts w:hint="default" w:ascii="Times New Roman" w:hAnsi="Times New Roman" w:cs="Times New Roman"/>
                <w:color w:val="auto"/>
                <w:highlight w:val="none"/>
                <w:lang w:val="en-US" w:eastAsia="zh-CN"/>
              </w:rPr>
              <w:t>×2×</w:t>
            </w:r>
            <w:r>
              <w:rPr>
                <w:rFonts w:hint="eastAsia" w:ascii="Times New Roman" w:hAnsi="Times New Roman" w:cs="Times New Roman"/>
                <w:color w:val="auto"/>
                <w:highlight w:val="none"/>
                <w:lang w:val="en-US" w:eastAsia="zh-CN"/>
              </w:rPr>
              <w:t>100</w:t>
            </w:r>
            <w:r>
              <w:rPr>
                <w:rFonts w:hint="default" w:ascii="Times New Roman" w:hAnsi="Times New Roman" w:cs="Times New Roman"/>
                <w:color w:val="auto"/>
                <w:highlight w:val="none"/>
                <w:lang w:val="en-US" w:eastAsia="zh-CN"/>
              </w:rPr>
              <w:t>0000×</w:t>
            </w:r>
            <w:r>
              <w:rPr>
                <w:rFonts w:hint="eastAsia" w:ascii="Times New Roman" w:hAnsi="Times New Roman" w:cs="Times New Roman"/>
                <w:color w:val="auto"/>
                <w:highlight w:val="none"/>
                <w:lang w:val="en-US" w:eastAsia="zh-CN"/>
              </w:rPr>
              <w:t>2</w:t>
            </w:r>
            <w:r>
              <w:rPr>
                <w:rFonts w:hint="default" w:ascii="Times New Roman" w:hAnsi="Times New Roman" w:cs="Times New Roman"/>
                <w:color w:val="auto"/>
                <w:highlight w:val="none"/>
                <w:lang w:val="en-US" w:eastAsia="zh-CN"/>
              </w:rPr>
              <w:t>0%=</w:t>
            </w:r>
            <w:r>
              <w:rPr>
                <w:rFonts w:hint="eastAsia" w:ascii="Times New Roman" w:hAnsi="Times New Roman" w:cs="Times New Roman"/>
                <w:color w:val="auto"/>
                <w:highlight w:val="none"/>
                <w:lang w:val="en-US" w:eastAsia="zh-CN"/>
              </w:rPr>
              <w:t>26</w:t>
            </w:r>
            <w:r>
              <w:rPr>
                <w:rFonts w:hint="default" w:ascii="Times New Roman" w:hAnsi="Times New Roman" w:cs="Times New Roman"/>
                <w:color w:val="auto"/>
                <w:highlight w:val="none"/>
                <w:lang w:val="en-US" w:eastAsia="zh-CN"/>
              </w:rPr>
              <w:t>000m</w:t>
            </w:r>
            <w:r>
              <w:rPr>
                <w:rFonts w:hint="default" w:ascii="Times New Roman" w:hAnsi="Times New Roman" w:cs="Times New Roman"/>
                <w:color w:val="auto"/>
                <w:highlight w:val="none"/>
                <w:vertAlign w:val="superscript"/>
                <w:lang w:val="en-US" w:eastAsia="zh-CN"/>
              </w:rPr>
              <w:t>2</w:t>
            </w:r>
            <w:r>
              <w:rPr>
                <w:rFonts w:hint="default" w:ascii="Times New Roman" w:hAnsi="Times New Roman" w:cs="Times New Roman"/>
                <w:color w:val="auto"/>
                <w:highlight w:val="none"/>
                <w:lang w:val="en-US" w:eastAsia="zh-CN"/>
              </w:rPr>
              <w:t>。总的上光面积为</w:t>
            </w:r>
            <w:r>
              <w:rPr>
                <w:rFonts w:hint="eastAsia" w:ascii="Times New Roman" w:hAnsi="Times New Roman" w:cs="Times New Roman"/>
                <w:color w:val="auto"/>
                <w:highlight w:val="none"/>
                <w:lang w:val="en-US" w:eastAsia="zh-CN"/>
              </w:rPr>
              <w:t>15</w:t>
            </w:r>
            <w:r>
              <w:rPr>
                <w:rFonts w:hint="default" w:ascii="Times New Roman" w:hAnsi="Times New Roman" w:cs="Times New Roman"/>
                <w:color w:val="auto"/>
                <w:highlight w:val="none"/>
                <w:lang w:val="en-US" w:eastAsia="zh-CN"/>
              </w:rPr>
              <w:t>000+</w:t>
            </w:r>
            <w:r>
              <w:rPr>
                <w:rFonts w:hint="eastAsia" w:ascii="Times New Roman" w:hAnsi="Times New Roman" w:cs="Times New Roman"/>
                <w:color w:val="auto"/>
                <w:highlight w:val="none"/>
                <w:lang w:val="en-US" w:eastAsia="zh-CN"/>
              </w:rPr>
              <w:t>26</w:t>
            </w:r>
            <w:r>
              <w:rPr>
                <w:rFonts w:hint="default" w:ascii="Times New Roman" w:hAnsi="Times New Roman" w:cs="Times New Roman"/>
                <w:color w:val="auto"/>
                <w:highlight w:val="none"/>
                <w:lang w:val="en-US" w:eastAsia="zh-CN"/>
              </w:rPr>
              <w:t>000=</w:t>
            </w:r>
            <w:r>
              <w:rPr>
                <w:rFonts w:hint="eastAsia" w:ascii="Times New Roman" w:hAnsi="Times New Roman" w:cs="Times New Roman"/>
                <w:color w:val="auto"/>
                <w:highlight w:val="none"/>
                <w:lang w:val="en-US" w:eastAsia="zh-CN"/>
              </w:rPr>
              <w:t>41</w:t>
            </w:r>
            <w:r>
              <w:rPr>
                <w:rFonts w:hint="default" w:ascii="Times New Roman" w:hAnsi="Times New Roman" w:cs="Times New Roman"/>
                <w:color w:val="auto"/>
                <w:highlight w:val="none"/>
                <w:lang w:val="en-US" w:eastAsia="zh-CN"/>
              </w:rPr>
              <w:t>000m</w:t>
            </w:r>
            <w:r>
              <w:rPr>
                <w:rFonts w:hint="default" w:ascii="Times New Roman" w:hAnsi="Times New Roman" w:cs="Times New Roman"/>
                <w:color w:val="auto"/>
                <w:highlight w:val="none"/>
                <w:vertAlign w:val="superscript"/>
                <w:lang w:val="en-US" w:eastAsia="zh-CN"/>
              </w:rPr>
              <w:t>2</w:t>
            </w:r>
          </w:p>
          <w:p w14:paraId="79B226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光油消耗量A</w:t>
            </w:r>
            <w:r>
              <w:rPr>
                <w:rFonts w:hint="eastAsia" w:ascii="Times New Roman" w:hAnsi="Times New Roman" w:cs="Times New Roman"/>
                <w:color w:val="auto"/>
                <w:highlight w:val="none"/>
                <w:vertAlign w:val="subscript"/>
                <w:lang w:val="en-US" w:eastAsia="zh-CN"/>
              </w:rPr>
              <w:t>上光产品</w:t>
            </w:r>
            <w:r>
              <w:rPr>
                <w:rFonts w:hint="eastAsia" w:ascii="Times New Roman" w:hAnsi="Times New Roman" w:cs="Times New Roman"/>
                <w:color w:val="auto"/>
                <w:highlight w:val="none"/>
                <w:lang w:val="en-US" w:eastAsia="zh-CN"/>
              </w:rPr>
              <w:t>=6</w:t>
            </w:r>
            <w:r>
              <w:rPr>
                <w:rFonts w:hint="eastAsia" w:ascii="Times New Roman" w:hAnsi="Times New Roman" w:eastAsia="宋体" w:cs="Times New Roman"/>
                <w:b w:val="0"/>
                <w:bCs w:val="0"/>
                <w:color w:val="auto"/>
                <w:kern w:val="2"/>
                <w:sz w:val="21"/>
                <w:szCs w:val="21"/>
                <w:highlight w:val="none"/>
                <w:vertAlign w:val="baseline"/>
                <w:lang w:val="en-US" w:eastAsia="zh-CN" w:bidi="ar-SA"/>
              </w:rPr>
              <w:t>×</w:t>
            </w:r>
            <w:r>
              <w:rPr>
                <w:rFonts w:hint="eastAsia" w:cs="Times New Roman"/>
                <w:b w:val="0"/>
                <w:bCs w:val="0"/>
                <w:color w:val="auto"/>
                <w:kern w:val="2"/>
                <w:sz w:val="21"/>
                <w:szCs w:val="21"/>
                <w:highlight w:val="none"/>
                <w:vertAlign w:val="baseline"/>
                <w:lang w:val="en-US" w:eastAsia="zh-CN" w:bidi="ar-SA"/>
              </w:rPr>
              <w:t>10</w:t>
            </w:r>
            <w:r>
              <w:rPr>
                <w:rFonts w:hint="eastAsia" w:cs="Times New Roman"/>
                <w:b w:val="0"/>
                <w:bCs w:val="0"/>
                <w:color w:val="auto"/>
                <w:kern w:val="2"/>
                <w:sz w:val="21"/>
                <w:szCs w:val="21"/>
                <w:highlight w:val="none"/>
                <w:vertAlign w:val="superscript"/>
                <w:lang w:val="en-US" w:eastAsia="zh-CN" w:bidi="ar-SA"/>
              </w:rPr>
              <w:t>-4</w:t>
            </w:r>
            <w:r>
              <w:rPr>
                <w:rFonts w:hint="eastAsia" w:ascii="Times New Roman" w:hAnsi="Times New Roman" w:cs="Times New Roman"/>
                <w:color w:val="auto"/>
                <w:highlight w:val="none"/>
                <w:lang w:val="en-US" w:eastAsia="zh-CN"/>
              </w:rPr>
              <w:t>×1.02÷（90%×89.3%）×41000</w:t>
            </w:r>
            <w:r>
              <w:rPr>
                <w:rFonts w:hint="eastAsia" w:ascii="Times New Roman" w:hAnsi="Times New Roman" w:eastAsia="宋体" w:cs="Times New Roman"/>
                <w:b w:val="0"/>
                <w:bCs w:val="0"/>
                <w:color w:val="auto"/>
                <w:kern w:val="2"/>
                <w:sz w:val="21"/>
                <w:szCs w:val="21"/>
                <w:highlight w:val="none"/>
                <w:vertAlign w:val="baseline"/>
                <w:lang w:val="en-US" w:eastAsia="zh-CN" w:bidi="ar-SA"/>
              </w:rPr>
              <w:t>×</w:t>
            </w:r>
            <w:r>
              <w:rPr>
                <w:rFonts w:hint="eastAsia" w:cs="Times New Roman"/>
                <w:b w:val="0"/>
                <w:bCs w:val="0"/>
                <w:color w:val="auto"/>
                <w:kern w:val="2"/>
                <w:sz w:val="21"/>
                <w:szCs w:val="21"/>
                <w:highlight w:val="none"/>
                <w:vertAlign w:val="baseline"/>
                <w:lang w:val="en-US" w:eastAsia="zh-CN" w:bidi="ar-SA"/>
              </w:rPr>
              <w:t>10</w:t>
            </w:r>
            <w:r>
              <w:rPr>
                <w:rFonts w:hint="eastAsia" w:cs="Times New Roman"/>
                <w:b w:val="0"/>
                <w:bCs w:val="0"/>
                <w:color w:val="auto"/>
                <w:kern w:val="2"/>
                <w:sz w:val="21"/>
                <w:szCs w:val="21"/>
                <w:highlight w:val="none"/>
                <w:vertAlign w:val="superscript"/>
                <w:lang w:val="en-US" w:eastAsia="zh-CN" w:bidi="ar-SA"/>
              </w:rPr>
              <w:t>4</w:t>
            </w:r>
            <w:r>
              <w:rPr>
                <w:rFonts w:hint="eastAsia" w:ascii="Times New Roman" w:hAnsi="Times New Roman" w:cs="Times New Roman"/>
                <w:color w:val="auto"/>
                <w:highlight w:val="none"/>
                <w:lang w:val="en-US" w:eastAsia="zh-CN"/>
              </w:rPr>
              <w:t>=312206g，即0.31t/a。</w:t>
            </w:r>
          </w:p>
          <w:p w14:paraId="295BF0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参数取值说明：</w:t>
            </w:r>
          </w:p>
          <w:p w14:paraId="22C33B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①</w:t>
            </w:r>
            <w:r>
              <w:rPr>
                <w:rFonts w:hint="eastAsia" w:ascii="Times New Roman" w:hAnsi="Times New Roman" w:eastAsia="宋体" w:cs="Times New Roman"/>
                <w:b w:val="0"/>
                <w:bCs w:val="0"/>
                <w:color w:val="auto"/>
                <w:sz w:val="21"/>
                <w:szCs w:val="21"/>
                <w:highlight w:val="none"/>
                <w:vertAlign w:val="baseline"/>
                <w:lang w:val="en-US" w:eastAsia="zh-CN"/>
              </w:rPr>
              <w:t>一般胶印方式，使用大豆油墨在纸质材料上的厚度通常为1微米至3微米。本项目取值3微米计算。</w:t>
            </w:r>
          </w:p>
          <w:p w14:paraId="0777DB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②</w:t>
            </w:r>
            <w:r>
              <w:rPr>
                <w:rFonts w:hint="eastAsia" w:ascii="Times New Roman" w:hAnsi="Times New Roman" w:cs="Times New Roman"/>
                <w:b w:val="0"/>
                <w:bCs w:val="0"/>
                <w:color w:val="auto"/>
                <w:sz w:val="21"/>
                <w:szCs w:val="21"/>
                <w:highlight w:val="none"/>
                <w:vertAlign w:val="baseline"/>
                <w:lang w:val="en-US" w:eastAsia="zh-CN"/>
              </w:rPr>
              <w:t>大豆油墨</w:t>
            </w:r>
            <w:r>
              <w:rPr>
                <w:rFonts w:hint="eastAsia" w:ascii="Times New Roman" w:hAnsi="Times New Roman" w:eastAsia="宋体" w:cs="Times New Roman"/>
                <w:b w:val="0"/>
                <w:bCs w:val="0"/>
                <w:color w:val="auto"/>
                <w:sz w:val="21"/>
                <w:szCs w:val="21"/>
                <w:highlight w:val="none"/>
                <w:vertAlign w:val="baseline"/>
                <w:lang w:val="en-US" w:eastAsia="zh-CN"/>
              </w:rPr>
              <w:t>在纸箱上墨层厚度为1微米至2微米。本项目取值2微米。</w:t>
            </w:r>
          </w:p>
          <w:p w14:paraId="77FB27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③</w:t>
            </w:r>
            <w:r>
              <w:rPr>
                <w:rFonts w:hint="eastAsia" w:ascii="Times New Roman" w:hAnsi="Times New Roman" w:eastAsia="宋体" w:cs="Times New Roman"/>
                <w:b w:val="0"/>
                <w:bCs w:val="0"/>
                <w:color w:val="auto"/>
                <w:sz w:val="21"/>
                <w:szCs w:val="21"/>
                <w:highlight w:val="none"/>
                <w:vertAlign w:val="baseline"/>
                <w:lang w:val="en-US" w:eastAsia="zh-CN"/>
              </w:rPr>
              <w:t>一般水性光油的厚度在5微米至8微米，在彩盒上的厚度一般为2微米至6微米左右，既能保证良好的附着性，又不会导致纸张变形或干燥不完全。因此，水性光油的涂层厚度取值6微米。</w:t>
            </w:r>
          </w:p>
          <w:p w14:paraId="4117C5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④由于生产过程的油墨沾在墨辊上，因此，利用率取</w:t>
            </w:r>
            <w:r>
              <w:rPr>
                <w:rFonts w:hint="default" w:ascii="Times New Roman" w:hAnsi="Times New Roman" w:eastAsia="宋体" w:cs="Times New Roman"/>
                <w:b w:val="0"/>
                <w:bCs w:val="0"/>
                <w:color w:val="auto"/>
                <w:sz w:val="21"/>
                <w:szCs w:val="21"/>
                <w:highlight w:val="none"/>
                <w:vertAlign w:val="baseline"/>
                <w:lang w:val="en-US" w:eastAsia="zh-CN"/>
              </w:rPr>
              <w:t>90%</w:t>
            </w:r>
            <w:r>
              <w:rPr>
                <w:rFonts w:hint="eastAsia" w:ascii="Times New Roman" w:hAnsi="Times New Roman" w:cs="Times New Roman"/>
                <w:b w:val="0"/>
                <w:bCs w:val="0"/>
                <w:color w:val="auto"/>
                <w:sz w:val="21"/>
                <w:szCs w:val="21"/>
                <w:highlight w:val="none"/>
                <w:vertAlign w:val="baseline"/>
                <w:lang w:val="en-US" w:eastAsia="zh-CN"/>
              </w:rPr>
              <w:t>。</w:t>
            </w:r>
          </w:p>
          <w:p w14:paraId="1DFA094B">
            <w:pPr>
              <w:keepNext w:val="0"/>
              <w:keepLines w:val="0"/>
              <w:pageBreakBefore w:val="0"/>
              <w:widowControl w:val="0"/>
              <w:numPr>
                <w:ilvl w:val="0"/>
                <w:numId w:val="3"/>
              </w:numPr>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jc w:val="both"/>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低VOCs物料判定</w:t>
            </w:r>
          </w:p>
          <w:p w14:paraId="07424564">
            <w:pPr>
              <w:keepLines w:val="0"/>
              <w:pageBreakBefore w:val="0"/>
              <w:kinsoku/>
              <w:wordWrap/>
              <w:topLinePunct w:val="0"/>
              <w:autoSpaceDE/>
              <w:autoSpaceDN/>
              <w:bidi w:val="0"/>
              <w:adjustRightInd/>
              <w:spacing w:line="360" w:lineRule="auto"/>
              <w:ind w:left="0" w:firstLine="480" w:firstLineChars="200"/>
              <w:textAlignment w:val="auto"/>
              <w:rPr>
                <w:rFonts w:hint="default" w:ascii="Times New Roman" w:hAnsi="Times New Roman" w:eastAsia="宋体" w:cs="Times New Roman"/>
                <w:color w:val="auto"/>
                <w:sz w:val="24"/>
                <w:szCs w:val="32"/>
                <w:highlight w:val="none"/>
                <w:lang w:val="en-US" w:eastAsia="zh-CN"/>
              </w:rPr>
            </w:pPr>
            <w:bookmarkStart w:id="4" w:name="OLE_LINK4"/>
            <w:r>
              <w:rPr>
                <w:rFonts w:hint="eastAsia" w:ascii="Times New Roman" w:hAnsi="Times New Roman" w:eastAsia="宋体" w:cs="Times New Roman"/>
                <w:color w:val="auto"/>
                <w:sz w:val="24"/>
                <w:szCs w:val="32"/>
                <w:highlight w:val="none"/>
                <w:lang w:val="en-US" w:eastAsia="zh-CN"/>
              </w:rPr>
              <w:fldChar w:fldCharType="begin"/>
            </w:r>
            <w:r>
              <w:rPr>
                <w:rFonts w:hint="eastAsia" w:ascii="Times New Roman" w:hAnsi="Times New Roman" w:eastAsia="宋体" w:cs="Times New Roman"/>
                <w:color w:val="auto"/>
                <w:sz w:val="24"/>
                <w:szCs w:val="32"/>
                <w:highlight w:val="none"/>
                <w:lang w:val="en-US" w:eastAsia="zh-CN"/>
              </w:rPr>
              <w:instrText xml:space="preserve"> = 1 \* GB3 \* MERGEFORMAT </w:instrText>
            </w:r>
            <w:r>
              <w:rPr>
                <w:rFonts w:hint="eastAsia" w:ascii="Times New Roman" w:hAnsi="Times New Roman" w:eastAsia="宋体" w:cs="Times New Roman"/>
                <w:color w:val="auto"/>
                <w:sz w:val="24"/>
                <w:szCs w:val="32"/>
                <w:highlight w:val="none"/>
                <w:lang w:val="en-US" w:eastAsia="zh-CN"/>
              </w:rPr>
              <w:fldChar w:fldCharType="separate"/>
            </w:r>
            <w:r>
              <w:rPr>
                <w:color w:val="auto"/>
                <w:highlight w:val="none"/>
              </w:rPr>
              <w:t>①</w:t>
            </w:r>
            <w:r>
              <w:rPr>
                <w:rFonts w:hint="eastAsia" w:ascii="Times New Roman" w:hAnsi="Times New Roman" w:eastAsia="宋体" w:cs="Times New Roman"/>
                <w:color w:val="auto"/>
                <w:sz w:val="24"/>
                <w:szCs w:val="32"/>
                <w:highlight w:val="none"/>
                <w:lang w:val="en-US" w:eastAsia="zh-CN"/>
              </w:rPr>
              <w:fldChar w:fldCharType="end"/>
            </w:r>
            <w:r>
              <w:rPr>
                <w:rFonts w:hint="eastAsia" w:ascii="Times New Roman" w:hAnsi="Times New Roman" w:eastAsia="宋体" w:cs="Times New Roman"/>
                <w:color w:val="auto"/>
                <w:sz w:val="24"/>
                <w:szCs w:val="32"/>
                <w:highlight w:val="none"/>
                <w:lang w:val="en-US" w:eastAsia="zh-CN"/>
              </w:rPr>
              <w:t>过油剂</w:t>
            </w:r>
            <w:r>
              <w:rPr>
                <w:rFonts w:hint="eastAsia" w:cs="Times New Roman"/>
                <w:color w:val="auto"/>
                <w:sz w:val="24"/>
                <w:szCs w:val="32"/>
                <w:highlight w:val="none"/>
                <w:lang w:val="en-US" w:eastAsia="zh-CN"/>
              </w:rPr>
              <w:t>（光油与天那水混合物）</w:t>
            </w:r>
          </w:p>
          <w:bookmarkEnd w:id="4"/>
          <w:p w14:paraId="3AD5A297">
            <w:pPr>
              <w:keepLines w:val="0"/>
              <w:pageBreakBefore w:val="0"/>
              <w:kinsoku/>
              <w:wordWrap/>
              <w:topLinePunct w:val="0"/>
              <w:autoSpaceDE/>
              <w:autoSpaceDN/>
              <w:bidi w:val="0"/>
              <w:adjustRightInd/>
              <w:spacing w:line="360" w:lineRule="auto"/>
              <w:ind w:left="0"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eastAsia" w:ascii="Times New Roman" w:hAnsi="Times New Roman" w:eastAsia="宋体" w:cs="Times New Roman"/>
                <w:color w:val="auto"/>
                <w:sz w:val="24"/>
                <w:szCs w:val="32"/>
                <w:highlight w:val="none"/>
                <w:lang w:val="en-US" w:eastAsia="zh-CN"/>
              </w:rPr>
              <w:t>项目过油工序涂料，需要使用稀释剂（天那水）与光油按照</w:t>
            </w:r>
            <w:r>
              <w:rPr>
                <w:rFonts w:hint="default" w:ascii="Times New Roman" w:hAnsi="Times New Roman" w:eastAsia="宋体" w:cs="Times New Roman"/>
                <w:color w:val="auto"/>
                <w:sz w:val="24"/>
                <w:szCs w:val="32"/>
                <w:highlight w:val="none"/>
                <w:lang w:val="en-US" w:eastAsia="zh-CN"/>
              </w:rPr>
              <w:t>质量配比</w:t>
            </w:r>
            <w:r>
              <w:rPr>
                <w:rFonts w:hint="eastAsia" w:ascii="Times New Roman" w:hAnsi="Times New Roman" w:eastAsia="宋体" w:cs="Times New Roman"/>
                <w:color w:val="auto"/>
                <w:sz w:val="24"/>
                <w:szCs w:val="32"/>
                <w:highlight w:val="none"/>
                <w:lang w:val="en-US" w:eastAsia="zh-CN"/>
              </w:rPr>
              <w:t>为</w:t>
            </w:r>
            <w:r>
              <w:rPr>
                <w:rFonts w:hint="eastAsia" w:cs="Times New Roman"/>
                <w:color w:val="auto"/>
                <w:sz w:val="24"/>
                <w:szCs w:val="32"/>
                <w:highlight w:val="none"/>
                <w:lang w:val="en-US" w:eastAsia="zh-CN"/>
              </w:rPr>
              <w:t>2</w:t>
            </w:r>
            <w:r>
              <w:rPr>
                <w:rFonts w:hint="eastAsia" w:ascii="Times New Roman" w:hAnsi="Times New Roman" w:eastAsia="宋体" w:cs="Times New Roman"/>
                <w:color w:val="auto"/>
                <w:sz w:val="24"/>
                <w:szCs w:val="32"/>
                <w:highlight w:val="none"/>
                <w:lang w:val="en-US" w:eastAsia="zh-CN"/>
              </w:rPr>
              <w:t>:</w:t>
            </w:r>
            <w:r>
              <w:rPr>
                <w:rFonts w:hint="eastAsia" w:cs="Times New Roman"/>
                <w:color w:val="auto"/>
                <w:sz w:val="24"/>
                <w:szCs w:val="32"/>
                <w:highlight w:val="none"/>
                <w:lang w:val="en-US" w:eastAsia="zh-CN"/>
              </w:rPr>
              <w:t>1</w:t>
            </w:r>
            <w:r>
              <w:rPr>
                <w:rFonts w:hint="eastAsia" w:ascii="Times New Roman" w:hAnsi="Times New Roman" w:eastAsia="宋体" w:cs="Times New Roman"/>
                <w:color w:val="auto"/>
                <w:sz w:val="24"/>
                <w:szCs w:val="32"/>
                <w:highlight w:val="none"/>
                <w:lang w:val="en-US" w:eastAsia="zh-CN"/>
              </w:rPr>
              <w:t>混合</w:t>
            </w:r>
            <w:r>
              <w:rPr>
                <w:rFonts w:hint="default" w:ascii="Times New Roman" w:hAnsi="Times New Roman" w:eastAsia="宋体" w:cs="Times New Roman"/>
                <w:color w:val="auto"/>
                <w:sz w:val="24"/>
                <w:szCs w:val="32"/>
                <w:highlight w:val="none"/>
                <w:lang w:val="en-US" w:eastAsia="zh-CN"/>
              </w:rPr>
              <w:t>。本项目</w:t>
            </w:r>
            <w:r>
              <w:rPr>
                <w:rFonts w:hint="eastAsia" w:ascii="Times New Roman" w:hAnsi="Times New Roman" w:eastAsia="宋体" w:cs="Times New Roman"/>
                <w:color w:val="auto"/>
                <w:sz w:val="24"/>
                <w:szCs w:val="32"/>
                <w:highlight w:val="none"/>
                <w:lang w:val="en-US" w:eastAsia="zh-CN"/>
              </w:rPr>
              <w:t>光油</w:t>
            </w:r>
            <w:r>
              <w:rPr>
                <w:rFonts w:hint="default" w:ascii="Times New Roman" w:hAnsi="Times New Roman" w:eastAsia="宋体" w:cs="Times New Roman"/>
                <w:color w:val="auto"/>
                <w:sz w:val="24"/>
                <w:szCs w:val="32"/>
                <w:highlight w:val="none"/>
                <w:lang w:val="en-US" w:eastAsia="zh-CN"/>
              </w:rPr>
              <w:t>有机挥发份含量在</w:t>
            </w:r>
            <w:r>
              <w:rPr>
                <w:rFonts w:hint="eastAsia" w:ascii="Times New Roman" w:hAnsi="Times New Roman" w:eastAsia="宋体" w:cs="Times New Roman"/>
                <w:color w:val="auto"/>
                <w:sz w:val="24"/>
                <w:szCs w:val="32"/>
                <w:highlight w:val="none"/>
                <w:lang w:val="en-US" w:eastAsia="zh-CN"/>
              </w:rPr>
              <w:t>0.1%</w:t>
            </w:r>
            <w:r>
              <w:rPr>
                <w:rFonts w:hint="default" w:ascii="Times New Roman" w:hAnsi="Times New Roman" w:eastAsia="宋体" w:cs="Times New Roman"/>
                <w:color w:val="auto"/>
                <w:sz w:val="24"/>
                <w:szCs w:val="32"/>
                <w:highlight w:val="none"/>
                <w:lang w:val="en-US" w:eastAsia="zh-CN"/>
              </w:rPr>
              <w:t>，</w:t>
            </w:r>
            <w:r>
              <w:rPr>
                <w:rFonts w:hint="eastAsia" w:ascii="Times New Roman" w:hAnsi="Times New Roman" w:eastAsia="宋体" w:cs="Times New Roman"/>
                <w:color w:val="auto"/>
                <w:sz w:val="24"/>
                <w:szCs w:val="32"/>
                <w:highlight w:val="none"/>
                <w:lang w:val="en-US" w:eastAsia="zh-CN"/>
              </w:rPr>
              <w:t>光油</w:t>
            </w:r>
            <w:r>
              <w:rPr>
                <w:rFonts w:hint="default" w:ascii="Times New Roman" w:hAnsi="Times New Roman" w:eastAsia="宋体" w:cs="Times New Roman"/>
                <w:color w:val="auto"/>
                <w:sz w:val="24"/>
                <w:szCs w:val="32"/>
                <w:highlight w:val="none"/>
                <w:lang w:val="en-US" w:eastAsia="zh-CN"/>
              </w:rPr>
              <w:t>密度为1.0</w:t>
            </w:r>
            <w:r>
              <w:rPr>
                <w:rFonts w:hint="eastAsia" w:cs="Times New Roman"/>
                <w:color w:val="auto"/>
                <w:sz w:val="24"/>
                <w:szCs w:val="32"/>
                <w:highlight w:val="none"/>
                <w:lang w:val="en-US" w:eastAsia="zh-CN"/>
              </w:rPr>
              <w:t>5</w:t>
            </w:r>
            <w:r>
              <w:rPr>
                <w:rFonts w:hint="default" w:ascii="Times New Roman" w:hAnsi="Times New Roman" w:eastAsia="宋体" w:cs="Times New Roman"/>
                <w:i w:val="0"/>
                <w:caps w:val="0"/>
                <w:color w:val="auto"/>
                <w:spacing w:val="0"/>
                <w:sz w:val="24"/>
                <w:szCs w:val="32"/>
                <w:highlight w:val="none"/>
                <w:shd w:val="clear" w:color="auto" w:fill="FFFFFF"/>
              </w:rPr>
              <w:t>g/cm</w:t>
            </w:r>
            <w:r>
              <w:rPr>
                <w:rFonts w:hint="default" w:ascii="Times New Roman" w:hAnsi="Times New Roman" w:eastAsia="宋体" w:cs="Times New Roman"/>
                <w:i w:val="0"/>
                <w:caps w:val="0"/>
                <w:color w:val="auto"/>
                <w:spacing w:val="0"/>
                <w:sz w:val="24"/>
                <w:szCs w:val="32"/>
                <w:highlight w:val="none"/>
                <w:shd w:val="clear" w:color="auto" w:fill="FFFFFF"/>
                <w:vertAlign w:val="superscript"/>
              </w:rPr>
              <w:t>3</w:t>
            </w:r>
            <w:r>
              <w:rPr>
                <w:rFonts w:hint="eastAsia" w:cs="Times New Roman"/>
                <w:i w:val="0"/>
                <w:caps w:val="0"/>
                <w:color w:val="auto"/>
                <w:spacing w:val="0"/>
                <w:sz w:val="24"/>
                <w:szCs w:val="32"/>
                <w:highlight w:val="none"/>
                <w:shd w:val="clear" w:color="auto" w:fill="FFFFFF"/>
                <w:vertAlign w:val="baseline"/>
                <w:lang w:eastAsia="zh-CN"/>
              </w:rPr>
              <w:t>；</w:t>
            </w:r>
            <w:r>
              <w:rPr>
                <w:rFonts w:hint="default" w:ascii="Times New Roman" w:hAnsi="Times New Roman" w:eastAsia="宋体" w:cs="Times New Roman"/>
                <w:i w:val="0"/>
                <w:caps w:val="0"/>
                <w:color w:val="auto"/>
                <w:spacing w:val="0"/>
                <w:sz w:val="24"/>
                <w:szCs w:val="32"/>
                <w:highlight w:val="none"/>
                <w:shd w:val="clear" w:color="auto" w:fill="FFFFFF"/>
                <w:vertAlign w:val="baseline"/>
                <w:lang w:val="en-US" w:eastAsia="zh-CN"/>
              </w:rPr>
              <w:t>稀释剂</w:t>
            </w:r>
            <w:r>
              <w:rPr>
                <w:rFonts w:hint="eastAsia" w:ascii="Times New Roman" w:hAnsi="Times New Roman" w:eastAsia="宋体" w:cs="Times New Roman"/>
                <w:color w:val="auto"/>
                <w:sz w:val="24"/>
                <w:szCs w:val="32"/>
                <w:highlight w:val="none"/>
                <w:lang w:val="en-US" w:eastAsia="zh-CN"/>
              </w:rPr>
              <w:t>（天那水）</w:t>
            </w:r>
            <w:r>
              <w:rPr>
                <w:rFonts w:hint="default" w:ascii="Times New Roman" w:hAnsi="Times New Roman" w:eastAsia="宋体" w:cs="Times New Roman"/>
                <w:i w:val="0"/>
                <w:caps w:val="0"/>
                <w:color w:val="auto"/>
                <w:spacing w:val="0"/>
                <w:sz w:val="24"/>
                <w:szCs w:val="32"/>
                <w:highlight w:val="none"/>
                <w:shd w:val="clear" w:color="auto" w:fill="FFFFFF"/>
                <w:vertAlign w:val="baseline"/>
                <w:lang w:val="en-US" w:eastAsia="zh-CN"/>
              </w:rPr>
              <w:t>密度为0.8</w:t>
            </w:r>
            <w:r>
              <w:rPr>
                <w:rFonts w:hint="eastAsia" w:cs="Times New Roman"/>
                <w:i w:val="0"/>
                <w:caps w:val="0"/>
                <w:color w:val="auto"/>
                <w:spacing w:val="0"/>
                <w:sz w:val="24"/>
                <w:szCs w:val="32"/>
                <w:highlight w:val="none"/>
                <w:shd w:val="clear" w:color="auto" w:fill="FFFFFF"/>
                <w:vertAlign w:val="baseline"/>
                <w:lang w:val="en-US" w:eastAsia="zh-CN"/>
              </w:rPr>
              <w:t>6</w:t>
            </w:r>
            <w:r>
              <w:rPr>
                <w:rFonts w:hint="default" w:ascii="Times New Roman" w:hAnsi="Times New Roman" w:eastAsia="宋体" w:cs="Times New Roman"/>
                <w:i w:val="0"/>
                <w:caps w:val="0"/>
                <w:color w:val="auto"/>
                <w:spacing w:val="0"/>
                <w:sz w:val="24"/>
                <w:szCs w:val="32"/>
                <w:highlight w:val="none"/>
                <w:shd w:val="clear" w:color="auto" w:fill="FFFFFF"/>
              </w:rPr>
              <w:t>g/cm</w:t>
            </w:r>
            <w:r>
              <w:rPr>
                <w:rFonts w:hint="default" w:ascii="Times New Roman" w:hAnsi="Times New Roman" w:eastAsia="宋体" w:cs="Times New Roman"/>
                <w:i w:val="0"/>
                <w:caps w:val="0"/>
                <w:color w:val="auto"/>
                <w:spacing w:val="0"/>
                <w:sz w:val="24"/>
                <w:szCs w:val="32"/>
                <w:highlight w:val="none"/>
                <w:shd w:val="clear" w:color="auto" w:fill="FFFFFF"/>
                <w:vertAlign w:val="superscript"/>
              </w:rPr>
              <w:t>3</w:t>
            </w:r>
            <w:r>
              <w:rPr>
                <w:rFonts w:hint="default" w:ascii="Times New Roman" w:hAnsi="Times New Roman" w:eastAsia="宋体" w:cs="Times New Roman"/>
                <w:i w:val="0"/>
                <w:caps w:val="0"/>
                <w:color w:val="auto"/>
                <w:spacing w:val="0"/>
                <w:sz w:val="24"/>
                <w:szCs w:val="32"/>
                <w:highlight w:val="none"/>
                <w:shd w:val="clear" w:color="auto" w:fill="FFFFFF"/>
                <w:vertAlign w:val="baseline"/>
                <w:lang w:eastAsia="zh-CN"/>
              </w:rPr>
              <w:t>，</w:t>
            </w:r>
            <w:r>
              <w:rPr>
                <w:rFonts w:hint="default" w:ascii="Times New Roman" w:hAnsi="Times New Roman" w:eastAsia="宋体" w:cs="Times New Roman"/>
                <w:color w:val="auto"/>
                <w:sz w:val="24"/>
                <w:szCs w:val="32"/>
                <w:highlight w:val="none"/>
                <w:lang w:val="en-US" w:eastAsia="zh-CN"/>
              </w:rPr>
              <w:t>有机挥发份含量为100%，</w:t>
            </w:r>
            <w:r>
              <w:rPr>
                <w:rFonts w:hint="default" w:ascii="Times New Roman" w:hAnsi="Times New Roman" w:eastAsia="宋体" w:cs="Times New Roman"/>
                <w:i w:val="0"/>
                <w:caps w:val="0"/>
                <w:color w:val="auto"/>
                <w:spacing w:val="0"/>
                <w:sz w:val="24"/>
                <w:szCs w:val="32"/>
                <w:highlight w:val="none"/>
                <w:shd w:val="clear" w:color="auto" w:fill="FFFFFF"/>
                <w:vertAlign w:val="baseline"/>
                <w:lang w:val="en-US" w:eastAsia="zh-CN"/>
              </w:rPr>
              <w:t>经换算为稀释后的</w:t>
            </w:r>
            <w:r>
              <w:rPr>
                <w:rFonts w:hint="eastAsia" w:ascii="Times New Roman" w:hAnsi="Times New Roman" w:eastAsia="宋体" w:cs="Times New Roman"/>
                <w:color w:val="auto"/>
                <w:sz w:val="24"/>
                <w:szCs w:val="32"/>
                <w:highlight w:val="none"/>
                <w:lang w:val="en-US" w:eastAsia="zh-CN"/>
              </w:rPr>
              <w:t>光油</w:t>
            </w:r>
            <w:r>
              <w:rPr>
                <w:rFonts w:hint="eastAsia" w:ascii="Times New Roman" w:hAnsi="Times New Roman" w:eastAsia="宋体" w:cs="Times New Roman"/>
                <w:i w:val="0"/>
                <w:caps w:val="0"/>
                <w:color w:val="auto"/>
                <w:spacing w:val="0"/>
                <w:sz w:val="24"/>
                <w:szCs w:val="32"/>
                <w:highlight w:val="none"/>
                <w:shd w:val="clear" w:color="auto" w:fill="FFFFFF"/>
                <w:vertAlign w:val="baseline"/>
                <w:lang w:val="en-US" w:eastAsia="zh-CN"/>
              </w:rPr>
              <w:t>VOC</w:t>
            </w:r>
            <w:r>
              <w:rPr>
                <w:rFonts w:hint="default" w:ascii="Times New Roman" w:hAnsi="Times New Roman" w:eastAsia="宋体" w:cs="Times New Roman"/>
                <w:i w:val="0"/>
                <w:caps w:val="0"/>
                <w:color w:val="auto"/>
                <w:spacing w:val="0"/>
                <w:sz w:val="24"/>
                <w:szCs w:val="32"/>
                <w:highlight w:val="none"/>
                <w:shd w:val="clear" w:color="auto" w:fill="FFFFFF"/>
                <w:vertAlign w:val="baseline"/>
                <w:lang w:val="en-US" w:eastAsia="zh-CN"/>
              </w:rPr>
              <w:t>s含量为</w:t>
            </w:r>
            <w:r>
              <w:rPr>
                <w:rFonts w:hint="eastAsia" w:cs="Times New Roman"/>
                <w:i w:val="0"/>
                <w:caps w:val="0"/>
                <w:color w:val="auto"/>
                <w:spacing w:val="0"/>
                <w:sz w:val="24"/>
                <w:szCs w:val="32"/>
                <w:highlight w:val="none"/>
                <w:shd w:val="clear" w:color="auto" w:fill="FFFFFF"/>
                <w:vertAlign w:val="baseline"/>
                <w:lang w:val="en-US" w:eastAsia="zh-CN"/>
              </w:rPr>
              <w:t>332.5</w:t>
            </w:r>
            <w:r>
              <w:rPr>
                <w:rFonts w:hint="default" w:ascii="Times New Roman" w:hAnsi="Times New Roman" w:eastAsia="宋体" w:cs="Times New Roman"/>
                <w:color w:val="auto"/>
                <w:sz w:val="24"/>
                <w:szCs w:val="32"/>
                <w:highlight w:val="none"/>
                <w:lang w:val="en-US" w:eastAsia="zh-CN"/>
              </w:rPr>
              <w:t>g/L，因此调好的涂料</w:t>
            </w:r>
            <w:r>
              <w:rPr>
                <w:rFonts w:hint="eastAsia" w:ascii="Times New Roman" w:hAnsi="Times New Roman" w:eastAsia="宋体" w:cs="Times New Roman"/>
                <w:color w:val="auto"/>
                <w:sz w:val="24"/>
                <w:szCs w:val="32"/>
                <w:highlight w:val="none"/>
                <w:lang w:val="en-US" w:eastAsia="zh-CN"/>
              </w:rPr>
              <w:t>VOC</w:t>
            </w:r>
            <w:r>
              <w:rPr>
                <w:rFonts w:hint="default" w:ascii="Times New Roman" w:hAnsi="Times New Roman" w:eastAsia="宋体" w:cs="Times New Roman"/>
                <w:color w:val="auto"/>
                <w:sz w:val="24"/>
                <w:szCs w:val="32"/>
                <w:highlight w:val="none"/>
                <w:lang w:val="en-US" w:eastAsia="zh-CN"/>
              </w:rPr>
              <w:t>s为符合该要求，也符合《低挥发性有机化合物含量涂料产品技术要求》（GB/T38597-2020）表2溶剂型涂料中机械设备涂料双组份面漆VOC≤420g/L的要求</w:t>
            </w:r>
            <w:r>
              <w:rPr>
                <w:rFonts w:hint="eastAsia" w:ascii="Times New Roman" w:hAnsi="Times New Roman" w:eastAsia="宋体" w:cs="Times New Roman"/>
                <w:color w:val="auto"/>
                <w:sz w:val="24"/>
                <w:szCs w:val="32"/>
                <w:highlight w:val="none"/>
                <w:lang w:val="en-US" w:eastAsia="zh-CN"/>
              </w:rPr>
              <w:t>。</w:t>
            </w:r>
          </w:p>
          <w:p w14:paraId="6969B2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过油与稀释剂的质量配比为</w:t>
            </w:r>
            <w:r>
              <w:rPr>
                <w:rFonts w:hint="eastAsia" w:cs="Times New Roman"/>
                <w:color w:val="auto"/>
                <w:sz w:val="24"/>
                <w:szCs w:val="32"/>
                <w:highlight w:val="none"/>
                <w:lang w:val="en-US" w:eastAsia="zh-CN"/>
              </w:rPr>
              <w:t>2</w:t>
            </w:r>
            <w:r>
              <w:rPr>
                <w:rFonts w:hint="default" w:ascii="Times New Roman" w:hAnsi="Times New Roman" w:eastAsia="宋体" w:cs="Times New Roman"/>
                <w:color w:val="auto"/>
                <w:sz w:val="24"/>
                <w:szCs w:val="32"/>
                <w:highlight w:val="none"/>
                <w:lang w:val="en-US" w:eastAsia="zh-CN"/>
              </w:rPr>
              <w:t>:1，假设</w:t>
            </w:r>
            <w:r>
              <w:rPr>
                <w:rFonts w:hint="eastAsia" w:cs="Times New Roman"/>
                <w:color w:val="auto"/>
                <w:sz w:val="24"/>
                <w:szCs w:val="32"/>
                <w:highlight w:val="none"/>
                <w:lang w:val="en-US" w:eastAsia="zh-CN"/>
              </w:rPr>
              <w:t>0.4</w:t>
            </w:r>
            <w:r>
              <w:rPr>
                <w:rFonts w:hint="default" w:ascii="Times New Roman" w:hAnsi="Times New Roman" w:eastAsia="宋体" w:cs="Times New Roman"/>
                <w:color w:val="auto"/>
                <w:sz w:val="24"/>
                <w:szCs w:val="32"/>
                <w:highlight w:val="none"/>
                <w:lang w:val="en-US" w:eastAsia="zh-CN"/>
              </w:rPr>
              <w:t>t的水性光油、</w:t>
            </w:r>
            <w:r>
              <w:rPr>
                <w:rFonts w:hint="eastAsia" w:cs="Times New Roman"/>
                <w:color w:val="auto"/>
                <w:sz w:val="24"/>
                <w:szCs w:val="32"/>
                <w:highlight w:val="none"/>
                <w:lang w:val="en-US" w:eastAsia="zh-CN"/>
              </w:rPr>
              <w:t>0.2</w:t>
            </w:r>
            <w:r>
              <w:rPr>
                <w:rFonts w:hint="default" w:ascii="Times New Roman" w:hAnsi="Times New Roman" w:eastAsia="宋体" w:cs="Times New Roman"/>
                <w:color w:val="auto"/>
                <w:sz w:val="24"/>
                <w:szCs w:val="32"/>
                <w:highlight w:val="none"/>
                <w:lang w:val="en-US" w:eastAsia="zh-CN"/>
              </w:rPr>
              <w:t>t的稀释剂，则调配好的</w:t>
            </w:r>
            <w:r>
              <w:rPr>
                <w:rFonts w:hint="eastAsia" w:cs="Times New Roman"/>
                <w:color w:val="auto"/>
                <w:sz w:val="24"/>
                <w:szCs w:val="32"/>
                <w:highlight w:val="none"/>
                <w:lang w:val="en-US" w:eastAsia="zh-CN"/>
              </w:rPr>
              <w:t>过油剂</w:t>
            </w:r>
            <w:r>
              <w:rPr>
                <w:rFonts w:hint="default" w:ascii="Times New Roman" w:hAnsi="Times New Roman" w:eastAsia="宋体" w:cs="Times New Roman"/>
                <w:color w:val="auto"/>
                <w:sz w:val="24"/>
                <w:szCs w:val="32"/>
                <w:highlight w:val="none"/>
                <w:lang w:val="en-US" w:eastAsia="zh-CN"/>
              </w:rPr>
              <w:t>中VOCs含量见下表：</w:t>
            </w:r>
          </w:p>
          <w:p w14:paraId="02B2FA6B">
            <w:pPr>
              <w:pStyle w:val="86"/>
              <w:numPr>
                <w:ilvl w:val="0"/>
                <w:numId w:val="0"/>
              </w:numPr>
              <w:tabs>
                <w:tab w:val="left" w:pos="420"/>
              </w:tabs>
              <w:spacing w:line="240" w:lineRule="auto"/>
              <w:ind w:leftChars="0"/>
              <w:jc w:val="center"/>
              <w:rPr>
                <w:rFonts w:hint="default" w:ascii="Times New Roman" w:hAnsi="Times New Roman" w:eastAsia="宋体" w:cs="Times New Roman"/>
                <w:b/>
                <w:bCs/>
                <w:color w:val="auto"/>
                <w:sz w:val="21"/>
                <w:highlight w:val="none"/>
                <w:lang w:val="en-US"/>
              </w:rPr>
            </w:pPr>
            <w:r>
              <w:rPr>
                <w:rFonts w:hint="eastAsia" w:ascii="Times New Roman" w:hAnsi="Times New Roman" w:eastAsia="宋体" w:cs="Times New Roman"/>
                <w:b/>
                <w:bCs/>
                <w:caps w:val="0"/>
                <w:smallCaps w:val="0"/>
                <w:color w:val="auto"/>
                <w:sz w:val="21"/>
                <w:szCs w:val="24"/>
                <w:highlight w:val="none"/>
                <w:lang w:val="en-US" w:eastAsia="zh-CN"/>
              </w:rPr>
              <w:t>表</w:t>
            </w:r>
            <w:r>
              <w:rPr>
                <w:rFonts w:hint="eastAsia" w:eastAsia="宋体" w:cs="Times New Roman"/>
                <w:b/>
                <w:bCs/>
                <w:caps w:val="0"/>
                <w:smallCaps w:val="0"/>
                <w:color w:val="auto"/>
                <w:sz w:val="21"/>
                <w:szCs w:val="24"/>
                <w:highlight w:val="none"/>
                <w:lang w:val="en-US" w:eastAsia="zh-CN"/>
              </w:rPr>
              <w:t>2-8</w:t>
            </w:r>
            <w:r>
              <w:rPr>
                <w:rFonts w:hint="default" w:ascii="Times New Roman" w:hAnsi="Times New Roman" w:eastAsia="宋体" w:cs="Times New Roman"/>
                <w:b/>
                <w:bCs/>
                <w:caps w:val="0"/>
                <w:smallCaps w:val="0"/>
                <w:color w:val="auto"/>
                <w:sz w:val="21"/>
                <w:szCs w:val="24"/>
                <w:highlight w:val="none"/>
                <w:lang w:val="en-US" w:eastAsia="zh-CN"/>
              </w:rPr>
              <w:t>过油剂中的VOCs含量</w:t>
            </w:r>
          </w:p>
          <w:tbl>
            <w:tblPr>
              <w:tblStyle w:val="32"/>
              <w:tblW w:w="81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6"/>
              <w:gridCol w:w="1158"/>
              <w:gridCol w:w="1678"/>
              <w:gridCol w:w="1419"/>
              <w:gridCol w:w="1060"/>
              <w:gridCol w:w="1086"/>
            </w:tblGrid>
            <w:tr w14:paraId="7099D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776" w:type="dxa"/>
                  <w:vMerge w:val="restart"/>
                  <w:noWrap w:val="0"/>
                  <w:vAlign w:val="center"/>
                </w:tcPr>
                <w:p w14:paraId="6EE3FEA3">
                  <w:pPr>
                    <w:jc w:val="center"/>
                    <w:rPr>
                      <w:rFonts w:hint="default" w:ascii="Times New Roman" w:hAnsi="Times New Roman" w:eastAsia="宋体" w:cs="Times New Roman"/>
                      <w:color w:val="auto"/>
                      <w:sz w:val="21"/>
                      <w:highlight w:val="none"/>
                      <w:vertAlign w:val="baseline"/>
                      <w:lang w:val="en-US" w:eastAsia="zh-CN"/>
                    </w:rPr>
                  </w:pPr>
                  <w:r>
                    <w:rPr>
                      <w:rFonts w:hint="default" w:ascii="Times New Roman" w:hAnsi="Times New Roman" w:eastAsia="宋体" w:cs="Times New Roman"/>
                      <w:b/>
                      <w:bCs/>
                      <w:color w:val="auto"/>
                      <w:sz w:val="21"/>
                      <w:highlight w:val="none"/>
                      <w:vertAlign w:val="baseline"/>
                      <w:lang w:val="en-US" w:eastAsia="zh-CN"/>
                    </w:rPr>
                    <w:t>涂料</w:t>
                  </w:r>
                </w:p>
              </w:tc>
              <w:tc>
                <w:tcPr>
                  <w:tcW w:w="1158" w:type="dxa"/>
                  <w:vMerge w:val="restart"/>
                  <w:noWrap w:val="0"/>
                  <w:vAlign w:val="center"/>
                </w:tcPr>
                <w:p w14:paraId="63F6FB1D">
                  <w:pPr>
                    <w:jc w:val="center"/>
                    <w:rPr>
                      <w:rFonts w:hint="default" w:ascii="Times New Roman" w:hAnsi="Times New Roman" w:eastAsia="宋体" w:cs="Times New Roman"/>
                      <w:b/>
                      <w:bCs/>
                      <w:color w:val="auto"/>
                      <w:sz w:val="21"/>
                      <w:highlight w:val="none"/>
                      <w:vertAlign w:val="baseline"/>
                      <w:lang w:val="en-US" w:eastAsia="zh-CN"/>
                    </w:rPr>
                  </w:pPr>
                  <w:r>
                    <w:rPr>
                      <w:rFonts w:hint="default" w:ascii="Times New Roman" w:hAnsi="Times New Roman" w:eastAsia="宋体" w:cs="Times New Roman"/>
                      <w:b/>
                      <w:bCs/>
                      <w:color w:val="auto"/>
                      <w:sz w:val="21"/>
                      <w:highlight w:val="none"/>
                      <w:vertAlign w:val="baseline"/>
                      <w:lang w:val="en-US" w:eastAsia="zh-CN"/>
                    </w:rPr>
                    <w:t>用量（t）</w:t>
                  </w:r>
                </w:p>
              </w:tc>
              <w:tc>
                <w:tcPr>
                  <w:tcW w:w="1678" w:type="dxa"/>
                  <w:vMerge w:val="restart"/>
                  <w:noWrap w:val="0"/>
                  <w:vAlign w:val="center"/>
                </w:tcPr>
                <w:p w14:paraId="2A6C37C4">
                  <w:pPr>
                    <w:jc w:val="center"/>
                    <w:rPr>
                      <w:rFonts w:hint="default" w:ascii="Times New Roman" w:hAnsi="Times New Roman" w:eastAsia="宋体" w:cs="Times New Roman"/>
                      <w:b/>
                      <w:bCs/>
                      <w:color w:val="auto"/>
                      <w:sz w:val="21"/>
                      <w:highlight w:val="none"/>
                      <w:vertAlign w:val="baseline"/>
                      <w:lang w:val="en-US" w:eastAsia="zh-CN"/>
                    </w:rPr>
                  </w:pPr>
                  <w:r>
                    <w:rPr>
                      <w:rFonts w:hint="default" w:ascii="Times New Roman" w:hAnsi="Times New Roman" w:eastAsia="宋体" w:cs="Times New Roman"/>
                      <w:b/>
                      <w:bCs/>
                      <w:color w:val="auto"/>
                      <w:sz w:val="21"/>
                      <w:highlight w:val="none"/>
                      <w:vertAlign w:val="baseline"/>
                      <w:lang w:val="en-US" w:eastAsia="zh-CN"/>
                    </w:rPr>
                    <w:t>密度（g/</w:t>
                  </w:r>
                  <w:r>
                    <w:rPr>
                      <w:rFonts w:hint="default" w:ascii="Times New Roman" w:hAnsi="Times New Roman" w:cs="Times New Roman"/>
                      <w:b/>
                      <w:bCs/>
                      <w:color w:val="auto"/>
                      <w:sz w:val="21"/>
                      <w:highlight w:val="none"/>
                      <w:vertAlign w:val="baseline"/>
                      <w:lang w:val="en-US" w:eastAsia="zh-CN"/>
                    </w:rPr>
                    <w:t>c</w:t>
                  </w:r>
                  <w:r>
                    <w:rPr>
                      <w:rFonts w:hint="default" w:ascii="Times New Roman" w:hAnsi="Times New Roman" w:eastAsia="宋体" w:cs="Times New Roman"/>
                      <w:b/>
                      <w:bCs/>
                      <w:color w:val="auto"/>
                      <w:sz w:val="21"/>
                      <w:highlight w:val="none"/>
                      <w:vertAlign w:val="baseline"/>
                      <w:lang w:val="en-US" w:eastAsia="zh-CN"/>
                    </w:rPr>
                    <w:t>m</w:t>
                  </w:r>
                  <w:r>
                    <w:rPr>
                      <w:rFonts w:hint="default" w:ascii="Times New Roman" w:hAnsi="Times New Roman" w:eastAsia="宋体" w:cs="Times New Roman"/>
                      <w:b/>
                      <w:bCs/>
                      <w:color w:val="auto"/>
                      <w:sz w:val="21"/>
                      <w:highlight w:val="none"/>
                      <w:vertAlign w:val="superscript"/>
                      <w:lang w:val="en-US" w:eastAsia="zh-CN"/>
                    </w:rPr>
                    <w:t>3</w:t>
                  </w:r>
                  <w:r>
                    <w:rPr>
                      <w:rFonts w:hint="default" w:ascii="Times New Roman" w:hAnsi="Times New Roman" w:eastAsia="宋体" w:cs="Times New Roman"/>
                      <w:b/>
                      <w:bCs/>
                      <w:color w:val="auto"/>
                      <w:sz w:val="21"/>
                      <w:highlight w:val="none"/>
                      <w:vertAlign w:val="baseline"/>
                      <w:lang w:val="en-US" w:eastAsia="zh-CN"/>
                    </w:rPr>
                    <w:t>）</w:t>
                  </w:r>
                </w:p>
              </w:tc>
              <w:tc>
                <w:tcPr>
                  <w:tcW w:w="1419" w:type="dxa"/>
                  <w:vMerge w:val="restart"/>
                  <w:noWrap w:val="0"/>
                  <w:vAlign w:val="center"/>
                </w:tcPr>
                <w:p w14:paraId="4C4D9856">
                  <w:pPr>
                    <w:jc w:val="center"/>
                    <w:rPr>
                      <w:rFonts w:hint="default" w:ascii="Times New Roman" w:hAnsi="Times New Roman" w:eastAsia="宋体" w:cs="Times New Roman"/>
                      <w:b/>
                      <w:bCs/>
                      <w:color w:val="auto"/>
                      <w:sz w:val="21"/>
                      <w:highlight w:val="none"/>
                      <w:vertAlign w:val="baseline"/>
                      <w:lang w:val="en-US" w:eastAsia="zh-CN"/>
                    </w:rPr>
                  </w:pPr>
                  <w:r>
                    <w:rPr>
                      <w:rFonts w:hint="default" w:ascii="Times New Roman" w:hAnsi="Times New Roman" w:eastAsia="宋体" w:cs="Times New Roman"/>
                      <w:b/>
                      <w:bCs/>
                      <w:color w:val="auto"/>
                      <w:sz w:val="21"/>
                      <w:highlight w:val="none"/>
                      <w:vertAlign w:val="baseline"/>
                      <w:lang w:val="en-US" w:eastAsia="zh-CN"/>
                    </w:rPr>
                    <w:t>容积（m</w:t>
                  </w:r>
                  <w:r>
                    <w:rPr>
                      <w:rFonts w:hint="default" w:ascii="Times New Roman" w:hAnsi="Times New Roman" w:eastAsia="宋体" w:cs="Times New Roman"/>
                      <w:b/>
                      <w:bCs/>
                      <w:color w:val="auto"/>
                      <w:sz w:val="21"/>
                      <w:highlight w:val="none"/>
                      <w:vertAlign w:val="superscript"/>
                      <w:lang w:val="en-US" w:eastAsia="zh-CN"/>
                    </w:rPr>
                    <w:t>3</w:t>
                  </w:r>
                  <w:r>
                    <w:rPr>
                      <w:rFonts w:hint="default" w:ascii="Times New Roman" w:hAnsi="Times New Roman" w:eastAsia="宋体" w:cs="Times New Roman"/>
                      <w:b/>
                      <w:bCs/>
                      <w:color w:val="auto"/>
                      <w:sz w:val="21"/>
                      <w:highlight w:val="none"/>
                      <w:vertAlign w:val="baseline"/>
                      <w:lang w:val="en-US" w:eastAsia="zh-CN"/>
                    </w:rPr>
                    <w:t>）</w:t>
                  </w:r>
                </w:p>
              </w:tc>
              <w:tc>
                <w:tcPr>
                  <w:tcW w:w="2146" w:type="dxa"/>
                  <w:gridSpan w:val="2"/>
                  <w:noWrap w:val="0"/>
                  <w:vAlign w:val="center"/>
                </w:tcPr>
                <w:p w14:paraId="522905C9">
                  <w:pPr>
                    <w:jc w:val="center"/>
                    <w:rPr>
                      <w:rFonts w:hint="default" w:ascii="Times New Roman" w:hAnsi="Times New Roman" w:eastAsia="宋体" w:cs="Times New Roman"/>
                      <w:b/>
                      <w:bCs/>
                      <w:color w:val="auto"/>
                      <w:sz w:val="21"/>
                      <w:highlight w:val="none"/>
                      <w:vertAlign w:val="baseline"/>
                    </w:rPr>
                  </w:pPr>
                  <w:r>
                    <w:rPr>
                      <w:rFonts w:hint="default" w:ascii="Times New Roman" w:hAnsi="Times New Roman" w:eastAsia="宋体" w:cs="Times New Roman"/>
                      <w:b/>
                      <w:bCs/>
                      <w:color w:val="auto"/>
                      <w:sz w:val="21"/>
                      <w:highlight w:val="none"/>
                      <w:vertAlign w:val="baseline"/>
                      <w:lang w:val="en-US" w:eastAsia="zh-CN"/>
                    </w:rPr>
                    <w:t>VOCs含量</w:t>
                  </w:r>
                </w:p>
              </w:tc>
            </w:tr>
            <w:tr w14:paraId="790F8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776" w:type="dxa"/>
                  <w:vMerge w:val="continue"/>
                  <w:noWrap w:val="0"/>
                  <w:vAlign w:val="center"/>
                </w:tcPr>
                <w:p w14:paraId="06AD17B5">
                  <w:pPr>
                    <w:jc w:val="center"/>
                    <w:rPr>
                      <w:rFonts w:hint="default" w:ascii="Times New Roman" w:hAnsi="Times New Roman" w:eastAsia="宋体" w:cs="Times New Roman"/>
                      <w:color w:val="auto"/>
                      <w:sz w:val="21"/>
                      <w:highlight w:val="none"/>
                      <w:vertAlign w:val="baseline"/>
                      <w:lang w:val="en-US" w:eastAsia="zh-CN"/>
                    </w:rPr>
                  </w:pPr>
                </w:p>
              </w:tc>
              <w:tc>
                <w:tcPr>
                  <w:tcW w:w="1158" w:type="dxa"/>
                  <w:vMerge w:val="continue"/>
                  <w:noWrap w:val="0"/>
                  <w:vAlign w:val="center"/>
                </w:tcPr>
                <w:p w14:paraId="6A49FCD6">
                  <w:pPr>
                    <w:jc w:val="center"/>
                    <w:rPr>
                      <w:rFonts w:hint="default" w:ascii="Times New Roman" w:hAnsi="Times New Roman" w:eastAsia="宋体" w:cs="Times New Roman"/>
                      <w:b/>
                      <w:bCs/>
                      <w:color w:val="auto"/>
                      <w:sz w:val="21"/>
                      <w:highlight w:val="none"/>
                      <w:vertAlign w:val="baseline"/>
                      <w:lang w:val="en-US" w:eastAsia="zh-CN"/>
                    </w:rPr>
                  </w:pPr>
                </w:p>
              </w:tc>
              <w:tc>
                <w:tcPr>
                  <w:tcW w:w="1678" w:type="dxa"/>
                  <w:vMerge w:val="continue"/>
                  <w:noWrap w:val="0"/>
                  <w:vAlign w:val="center"/>
                </w:tcPr>
                <w:p w14:paraId="2ED2BA61">
                  <w:pPr>
                    <w:jc w:val="center"/>
                    <w:rPr>
                      <w:rFonts w:hint="default" w:ascii="Times New Roman" w:hAnsi="Times New Roman" w:eastAsia="宋体" w:cs="Times New Roman"/>
                      <w:b/>
                      <w:bCs/>
                      <w:color w:val="auto"/>
                      <w:sz w:val="21"/>
                      <w:highlight w:val="none"/>
                      <w:vertAlign w:val="baseline"/>
                      <w:lang w:val="en-US" w:eastAsia="zh-CN"/>
                    </w:rPr>
                  </w:pPr>
                </w:p>
              </w:tc>
              <w:tc>
                <w:tcPr>
                  <w:tcW w:w="1419" w:type="dxa"/>
                  <w:vMerge w:val="continue"/>
                  <w:noWrap w:val="0"/>
                  <w:vAlign w:val="center"/>
                </w:tcPr>
                <w:p w14:paraId="7FF39869">
                  <w:pPr>
                    <w:jc w:val="center"/>
                    <w:rPr>
                      <w:rFonts w:hint="default" w:ascii="Times New Roman" w:hAnsi="Times New Roman" w:eastAsia="宋体" w:cs="Times New Roman"/>
                      <w:b/>
                      <w:bCs/>
                      <w:color w:val="auto"/>
                      <w:sz w:val="21"/>
                      <w:highlight w:val="none"/>
                      <w:vertAlign w:val="baseline"/>
                      <w:lang w:val="en-US" w:eastAsia="zh-CN"/>
                    </w:rPr>
                  </w:pPr>
                </w:p>
              </w:tc>
              <w:tc>
                <w:tcPr>
                  <w:tcW w:w="1060" w:type="dxa"/>
                  <w:noWrap w:val="0"/>
                  <w:vAlign w:val="center"/>
                </w:tcPr>
                <w:p w14:paraId="0D75858C">
                  <w:pPr>
                    <w:jc w:val="center"/>
                    <w:rPr>
                      <w:rFonts w:hint="default" w:ascii="Times New Roman" w:hAnsi="Times New Roman" w:eastAsia="宋体" w:cs="Times New Roman"/>
                      <w:b/>
                      <w:bCs/>
                      <w:color w:val="auto"/>
                      <w:sz w:val="21"/>
                      <w:highlight w:val="none"/>
                      <w:vertAlign w:val="baseline"/>
                      <w:lang w:val="en-US" w:eastAsia="zh-CN"/>
                    </w:rPr>
                  </w:pPr>
                  <w:r>
                    <w:rPr>
                      <w:rFonts w:hint="default" w:ascii="Times New Roman" w:hAnsi="Times New Roman" w:eastAsia="宋体" w:cs="Times New Roman"/>
                      <w:b/>
                      <w:bCs/>
                      <w:color w:val="auto"/>
                      <w:sz w:val="21"/>
                      <w:highlight w:val="none"/>
                      <w:vertAlign w:val="baseline"/>
                      <w:lang w:val="en-US" w:eastAsia="zh-CN"/>
                    </w:rPr>
                    <w:t>%</w:t>
                  </w:r>
                </w:p>
              </w:tc>
              <w:tc>
                <w:tcPr>
                  <w:tcW w:w="1086" w:type="dxa"/>
                  <w:noWrap w:val="0"/>
                  <w:vAlign w:val="center"/>
                </w:tcPr>
                <w:p w14:paraId="67929840">
                  <w:pPr>
                    <w:jc w:val="center"/>
                    <w:rPr>
                      <w:rFonts w:hint="default" w:ascii="Times New Roman" w:hAnsi="Times New Roman" w:eastAsia="宋体" w:cs="Times New Roman"/>
                      <w:b/>
                      <w:bCs/>
                      <w:color w:val="auto"/>
                      <w:sz w:val="21"/>
                      <w:highlight w:val="none"/>
                      <w:vertAlign w:val="baseline"/>
                      <w:lang w:val="en-US" w:eastAsia="zh-CN"/>
                    </w:rPr>
                  </w:pPr>
                  <w:r>
                    <w:rPr>
                      <w:rFonts w:hint="default" w:ascii="Times New Roman" w:hAnsi="Times New Roman" w:eastAsia="宋体" w:cs="Times New Roman"/>
                      <w:b/>
                      <w:bCs/>
                      <w:color w:val="auto"/>
                      <w:sz w:val="21"/>
                      <w:highlight w:val="none"/>
                      <w:vertAlign w:val="baseline"/>
                      <w:lang w:val="en-US" w:eastAsia="zh-CN"/>
                    </w:rPr>
                    <w:t>t</w:t>
                  </w:r>
                </w:p>
              </w:tc>
            </w:tr>
            <w:tr w14:paraId="50001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776" w:type="dxa"/>
                  <w:noWrap w:val="0"/>
                  <w:vAlign w:val="center"/>
                </w:tcPr>
                <w:p w14:paraId="15D678D8">
                  <w:pPr>
                    <w:jc w:val="center"/>
                    <w:rPr>
                      <w:rFonts w:hint="default" w:ascii="Times New Roman" w:hAnsi="Times New Roman" w:eastAsia="宋体" w:cs="Times New Roman"/>
                      <w:color w:val="auto"/>
                      <w:sz w:val="21"/>
                      <w:highlight w:val="none"/>
                      <w:vertAlign w:val="baseline"/>
                      <w:lang w:val="en-US" w:eastAsia="zh-CN"/>
                    </w:rPr>
                  </w:pPr>
                  <w:r>
                    <w:rPr>
                      <w:rFonts w:hint="eastAsia" w:ascii="Times New Roman" w:hAnsi="Times New Roman" w:eastAsia="宋体" w:cs="Times New Roman"/>
                      <w:color w:val="auto"/>
                      <w:sz w:val="21"/>
                      <w:highlight w:val="none"/>
                      <w:vertAlign w:val="baseline"/>
                      <w:lang w:val="en-US" w:eastAsia="zh-CN"/>
                    </w:rPr>
                    <w:t>水性光油</w:t>
                  </w:r>
                </w:p>
              </w:tc>
              <w:tc>
                <w:tcPr>
                  <w:tcW w:w="1158" w:type="dxa"/>
                  <w:noWrap w:val="0"/>
                  <w:vAlign w:val="center"/>
                </w:tcPr>
                <w:p w14:paraId="64E3911E">
                  <w:pPr>
                    <w:jc w:val="center"/>
                    <w:rPr>
                      <w:rFonts w:hint="default" w:ascii="Times New Roman" w:hAnsi="Times New Roman" w:eastAsia="宋体" w:cs="Times New Roman"/>
                      <w:color w:val="auto"/>
                      <w:sz w:val="21"/>
                      <w:highlight w:val="none"/>
                      <w:vertAlign w:val="baseline"/>
                      <w:lang w:val="en-US" w:eastAsia="zh-CN"/>
                    </w:rPr>
                  </w:pPr>
                  <w:r>
                    <w:rPr>
                      <w:rFonts w:hint="eastAsia" w:ascii="Times New Roman" w:hAnsi="Times New Roman" w:cs="Times New Roman"/>
                      <w:color w:val="auto"/>
                      <w:sz w:val="21"/>
                      <w:highlight w:val="none"/>
                      <w:vertAlign w:val="baseline"/>
                      <w:lang w:val="en-US" w:eastAsia="zh-CN"/>
                    </w:rPr>
                    <w:t>0.</w:t>
                  </w:r>
                  <w:r>
                    <w:rPr>
                      <w:rFonts w:hint="eastAsia" w:cs="Times New Roman"/>
                      <w:color w:val="auto"/>
                      <w:sz w:val="21"/>
                      <w:highlight w:val="none"/>
                      <w:vertAlign w:val="baseline"/>
                      <w:lang w:val="en-US" w:eastAsia="zh-CN"/>
                    </w:rPr>
                    <w:t>4</w:t>
                  </w:r>
                </w:p>
              </w:tc>
              <w:tc>
                <w:tcPr>
                  <w:tcW w:w="1678" w:type="dxa"/>
                  <w:noWrap w:val="0"/>
                  <w:vAlign w:val="center"/>
                </w:tcPr>
                <w:p w14:paraId="1075A8A0">
                  <w:pPr>
                    <w:jc w:val="center"/>
                    <w:rPr>
                      <w:rFonts w:hint="default" w:ascii="Times New Roman" w:hAnsi="Times New Roman" w:eastAsia="宋体" w:cs="Times New Roman"/>
                      <w:color w:val="auto"/>
                      <w:sz w:val="21"/>
                      <w:highlight w:val="none"/>
                      <w:vertAlign w:val="baseline"/>
                      <w:lang w:val="en-US"/>
                    </w:rPr>
                  </w:pPr>
                  <w:r>
                    <w:rPr>
                      <w:rFonts w:hint="eastAsia" w:cs="Times New Roman"/>
                      <w:color w:val="auto"/>
                      <w:sz w:val="21"/>
                      <w:highlight w:val="none"/>
                      <w:lang w:val="en-US" w:eastAsia="zh-CN"/>
                    </w:rPr>
                    <w:t>1.05</w:t>
                  </w:r>
                </w:p>
              </w:tc>
              <w:tc>
                <w:tcPr>
                  <w:tcW w:w="1419" w:type="dxa"/>
                  <w:noWrap w:val="0"/>
                  <w:vAlign w:val="center"/>
                </w:tcPr>
                <w:p w14:paraId="745A96B6">
                  <w:pPr>
                    <w:jc w:val="center"/>
                    <w:rPr>
                      <w:rFonts w:hint="default" w:cs="Times New Roman"/>
                      <w:color w:val="auto"/>
                      <w:sz w:val="21"/>
                      <w:highlight w:val="none"/>
                      <w:vertAlign w:val="baseline"/>
                      <w:lang w:val="en-US" w:eastAsia="zh-CN"/>
                    </w:rPr>
                  </w:pPr>
                  <w:r>
                    <w:rPr>
                      <w:rFonts w:hint="default" w:cs="Times New Roman"/>
                      <w:color w:val="auto"/>
                      <w:sz w:val="21"/>
                      <w:highlight w:val="none"/>
                      <w:vertAlign w:val="baseline"/>
                      <w:lang w:val="en-US" w:eastAsia="zh-CN"/>
                    </w:rPr>
                    <w:t>0.3810</w:t>
                  </w:r>
                </w:p>
              </w:tc>
              <w:tc>
                <w:tcPr>
                  <w:tcW w:w="1060" w:type="dxa"/>
                  <w:noWrap w:val="0"/>
                  <w:vAlign w:val="center"/>
                </w:tcPr>
                <w:p w14:paraId="3391339E">
                  <w:pPr>
                    <w:jc w:val="center"/>
                    <w:rPr>
                      <w:rFonts w:hint="default" w:ascii="Times New Roman" w:hAnsi="Times New Roman" w:eastAsia="宋体" w:cs="Times New Roman"/>
                      <w:color w:val="auto"/>
                      <w:sz w:val="21"/>
                      <w:highlight w:val="none"/>
                      <w:vertAlign w:val="baseline"/>
                      <w:lang w:val="en-US" w:eastAsia="zh-CN"/>
                    </w:rPr>
                  </w:pPr>
                  <w:r>
                    <w:rPr>
                      <w:rFonts w:hint="eastAsia" w:cs="Times New Roman"/>
                      <w:color w:val="auto"/>
                      <w:sz w:val="21"/>
                      <w:highlight w:val="none"/>
                      <w:vertAlign w:val="baseline"/>
                      <w:lang w:val="en-US" w:eastAsia="zh-CN"/>
                    </w:rPr>
                    <w:t>1</w:t>
                  </w:r>
                </w:p>
              </w:tc>
              <w:tc>
                <w:tcPr>
                  <w:tcW w:w="1086" w:type="dxa"/>
                  <w:noWrap w:val="0"/>
                  <w:vAlign w:val="center"/>
                </w:tcPr>
                <w:p w14:paraId="420CDC77">
                  <w:pPr>
                    <w:jc w:val="center"/>
                    <w:rPr>
                      <w:rFonts w:hint="default" w:ascii="Times New Roman" w:hAnsi="Times New Roman" w:eastAsia="宋体" w:cs="Times New Roman"/>
                      <w:color w:val="auto"/>
                      <w:sz w:val="21"/>
                      <w:highlight w:val="none"/>
                      <w:vertAlign w:val="baseline"/>
                      <w:lang w:val="en-US" w:eastAsia="zh-CN"/>
                    </w:rPr>
                  </w:pPr>
                  <w:r>
                    <w:rPr>
                      <w:rFonts w:hint="eastAsia" w:cs="Times New Roman"/>
                      <w:color w:val="auto"/>
                      <w:sz w:val="21"/>
                      <w:highlight w:val="none"/>
                      <w:vertAlign w:val="baseline"/>
                      <w:lang w:val="en-US" w:eastAsia="zh-CN"/>
                    </w:rPr>
                    <w:t>0.004</w:t>
                  </w:r>
                </w:p>
              </w:tc>
            </w:tr>
            <w:tr w14:paraId="26FFE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776" w:type="dxa"/>
                  <w:noWrap w:val="0"/>
                  <w:vAlign w:val="center"/>
                </w:tcPr>
                <w:p w14:paraId="1A4E5A79">
                  <w:pPr>
                    <w:jc w:val="center"/>
                    <w:rPr>
                      <w:rFonts w:hint="default" w:ascii="Times New Roman" w:hAnsi="Times New Roman" w:eastAsia="宋体" w:cs="Times New Roman"/>
                      <w:color w:val="auto"/>
                      <w:sz w:val="21"/>
                      <w:highlight w:val="none"/>
                      <w:vertAlign w:val="baseline"/>
                      <w:lang w:val="en-US" w:eastAsia="zh-CN"/>
                    </w:rPr>
                  </w:pPr>
                  <w:r>
                    <w:rPr>
                      <w:rFonts w:hint="eastAsia" w:ascii="Times New Roman" w:hAnsi="Times New Roman" w:eastAsia="宋体" w:cs="Times New Roman"/>
                      <w:color w:val="auto"/>
                      <w:sz w:val="21"/>
                      <w:highlight w:val="none"/>
                      <w:vertAlign w:val="baseline"/>
                      <w:lang w:val="en-US" w:eastAsia="zh-CN"/>
                    </w:rPr>
                    <w:t>天那水</w:t>
                  </w:r>
                </w:p>
              </w:tc>
              <w:tc>
                <w:tcPr>
                  <w:tcW w:w="1158" w:type="dxa"/>
                  <w:noWrap w:val="0"/>
                  <w:vAlign w:val="center"/>
                </w:tcPr>
                <w:p w14:paraId="74662A2E">
                  <w:pPr>
                    <w:jc w:val="center"/>
                    <w:rPr>
                      <w:rFonts w:hint="default" w:ascii="Times New Roman" w:hAnsi="Times New Roman" w:eastAsia="宋体" w:cs="Times New Roman"/>
                      <w:color w:val="auto"/>
                      <w:sz w:val="21"/>
                      <w:highlight w:val="none"/>
                      <w:vertAlign w:val="baseline"/>
                      <w:lang w:val="en-US" w:eastAsia="zh-CN"/>
                    </w:rPr>
                  </w:pPr>
                  <w:r>
                    <w:rPr>
                      <w:rFonts w:hint="eastAsia" w:ascii="Times New Roman" w:hAnsi="Times New Roman" w:cs="Times New Roman"/>
                      <w:color w:val="auto"/>
                      <w:sz w:val="21"/>
                      <w:highlight w:val="none"/>
                      <w:vertAlign w:val="baseline"/>
                      <w:lang w:val="en-US" w:eastAsia="zh-CN"/>
                    </w:rPr>
                    <w:t>0.</w:t>
                  </w:r>
                  <w:r>
                    <w:rPr>
                      <w:rFonts w:hint="eastAsia" w:cs="Times New Roman"/>
                      <w:color w:val="auto"/>
                      <w:sz w:val="21"/>
                      <w:highlight w:val="none"/>
                      <w:vertAlign w:val="baseline"/>
                      <w:lang w:val="en-US" w:eastAsia="zh-CN"/>
                    </w:rPr>
                    <w:t>2</w:t>
                  </w:r>
                </w:p>
              </w:tc>
              <w:tc>
                <w:tcPr>
                  <w:tcW w:w="1678" w:type="dxa"/>
                  <w:noWrap w:val="0"/>
                  <w:vAlign w:val="center"/>
                </w:tcPr>
                <w:p w14:paraId="6600BD04">
                  <w:pPr>
                    <w:jc w:val="center"/>
                    <w:rPr>
                      <w:rFonts w:hint="default" w:ascii="Times New Roman" w:hAnsi="Times New Roman" w:eastAsia="宋体" w:cs="Times New Roman"/>
                      <w:color w:val="auto"/>
                      <w:sz w:val="21"/>
                      <w:highlight w:val="none"/>
                      <w:vertAlign w:val="baseline"/>
                    </w:rPr>
                  </w:pPr>
                  <w:r>
                    <w:rPr>
                      <w:rFonts w:hint="default" w:ascii="Times New Roman" w:hAnsi="Times New Roman" w:eastAsia="宋体" w:cs="Times New Roman"/>
                      <w:i w:val="0"/>
                      <w:caps w:val="0"/>
                      <w:color w:val="auto"/>
                      <w:spacing w:val="0"/>
                      <w:sz w:val="21"/>
                      <w:szCs w:val="24"/>
                      <w:highlight w:val="none"/>
                      <w:shd w:val="clear" w:color="auto" w:fill="FFFFFF"/>
                      <w:vertAlign w:val="baseline"/>
                      <w:lang w:val="en-US" w:eastAsia="zh-CN"/>
                    </w:rPr>
                    <w:t>0.8</w:t>
                  </w:r>
                  <w:r>
                    <w:rPr>
                      <w:rFonts w:hint="eastAsia" w:cs="Times New Roman"/>
                      <w:i w:val="0"/>
                      <w:caps w:val="0"/>
                      <w:color w:val="auto"/>
                      <w:spacing w:val="0"/>
                      <w:sz w:val="21"/>
                      <w:szCs w:val="24"/>
                      <w:highlight w:val="none"/>
                      <w:shd w:val="clear" w:color="auto" w:fill="FFFFFF"/>
                      <w:vertAlign w:val="baseline"/>
                      <w:lang w:val="en-US" w:eastAsia="zh-CN"/>
                    </w:rPr>
                    <w:t>6</w:t>
                  </w:r>
                </w:p>
              </w:tc>
              <w:tc>
                <w:tcPr>
                  <w:tcW w:w="1419" w:type="dxa"/>
                  <w:shd w:val="clear" w:color="auto" w:fill="auto"/>
                  <w:noWrap w:val="0"/>
                  <w:vAlign w:val="center"/>
                </w:tcPr>
                <w:p w14:paraId="2F5994F9">
                  <w:pPr>
                    <w:jc w:val="center"/>
                    <w:rPr>
                      <w:rFonts w:hint="default" w:cs="Times New Roman"/>
                      <w:color w:val="auto"/>
                      <w:sz w:val="21"/>
                      <w:highlight w:val="none"/>
                      <w:vertAlign w:val="baseline"/>
                      <w:lang w:val="en-US" w:eastAsia="zh-CN"/>
                    </w:rPr>
                  </w:pPr>
                  <w:r>
                    <w:rPr>
                      <w:rFonts w:hint="eastAsia" w:cs="Times New Roman"/>
                      <w:color w:val="auto"/>
                      <w:sz w:val="21"/>
                      <w:highlight w:val="none"/>
                      <w:vertAlign w:val="baseline"/>
                      <w:lang w:val="en-US" w:eastAsia="zh-CN"/>
                    </w:rPr>
                    <w:t>0.2326</w:t>
                  </w:r>
                </w:p>
              </w:tc>
              <w:tc>
                <w:tcPr>
                  <w:tcW w:w="1060" w:type="dxa"/>
                  <w:noWrap w:val="0"/>
                  <w:vAlign w:val="center"/>
                </w:tcPr>
                <w:p w14:paraId="223843CE">
                  <w:pPr>
                    <w:jc w:val="center"/>
                    <w:rPr>
                      <w:rFonts w:hint="default" w:ascii="Times New Roman" w:hAnsi="Times New Roman" w:eastAsia="宋体" w:cs="Times New Roman"/>
                      <w:color w:val="auto"/>
                      <w:sz w:val="21"/>
                      <w:highlight w:val="none"/>
                      <w:vertAlign w:val="baseline"/>
                      <w:lang w:val="en-US" w:eastAsia="zh-CN"/>
                    </w:rPr>
                  </w:pPr>
                  <w:r>
                    <w:rPr>
                      <w:rFonts w:hint="default" w:ascii="Times New Roman" w:hAnsi="Times New Roman" w:cs="Times New Roman"/>
                      <w:color w:val="auto"/>
                      <w:sz w:val="21"/>
                      <w:highlight w:val="none"/>
                      <w:vertAlign w:val="baseline"/>
                      <w:lang w:val="en-US" w:eastAsia="zh-CN"/>
                    </w:rPr>
                    <w:t>100</w:t>
                  </w:r>
                </w:p>
              </w:tc>
              <w:tc>
                <w:tcPr>
                  <w:tcW w:w="1086" w:type="dxa"/>
                  <w:noWrap w:val="0"/>
                  <w:vAlign w:val="center"/>
                </w:tcPr>
                <w:p w14:paraId="10BB6AF2">
                  <w:pPr>
                    <w:jc w:val="center"/>
                    <w:rPr>
                      <w:rFonts w:hint="default" w:ascii="Times New Roman" w:hAnsi="Times New Roman" w:eastAsia="宋体" w:cs="Times New Roman"/>
                      <w:color w:val="auto"/>
                      <w:sz w:val="21"/>
                      <w:highlight w:val="none"/>
                      <w:vertAlign w:val="baseline"/>
                      <w:lang w:val="en-US" w:eastAsia="zh-CN"/>
                    </w:rPr>
                  </w:pPr>
                  <w:r>
                    <w:rPr>
                      <w:rFonts w:hint="eastAsia" w:cs="Times New Roman"/>
                      <w:color w:val="auto"/>
                      <w:sz w:val="21"/>
                      <w:highlight w:val="none"/>
                      <w:vertAlign w:val="baseline"/>
                      <w:lang w:val="en-US" w:eastAsia="zh-CN"/>
                    </w:rPr>
                    <w:t>0.2</w:t>
                  </w:r>
                </w:p>
              </w:tc>
            </w:tr>
            <w:tr w14:paraId="64813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776" w:type="dxa"/>
                  <w:noWrap w:val="0"/>
                  <w:vAlign w:val="center"/>
                </w:tcPr>
                <w:p w14:paraId="7C635A40">
                  <w:pPr>
                    <w:jc w:val="center"/>
                    <w:rPr>
                      <w:rFonts w:hint="default" w:ascii="Times New Roman" w:hAnsi="Times New Roman" w:eastAsia="宋体" w:cs="Times New Roman"/>
                      <w:color w:val="auto"/>
                      <w:sz w:val="21"/>
                      <w:highlight w:val="none"/>
                      <w:vertAlign w:val="baseline"/>
                      <w:lang w:val="en-US" w:eastAsia="zh-CN"/>
                    </w:rPr>
                  </w:pPr>
                  <w:r>
                    <w:rPr>
                      <w:rFonts w:hint="default" w:ascii="Times New Roman" w:hAnsi="Times New Roman" w:eastAsia="宋体" w:cs="Times New Roman"/>
                      <w:color w:val="auto"/>
                      <w:sz w:val="21"/>
                      <w:highlight w:val="none"/>
                      <w:vertAlign w:val="baseline"/>
                      <w:lang w:val="en-US" w:eastAsia="zh-CN"/>
                    </w:rPr>
                    <w:t>小计</w:t>
                  </w:r>
                </w:p>
              </w:tc>
              <w:tc>
                <w:tcPr>
                  <w:tcW w:w="1158" w:type="dxa"/>
                  <w:noWrap w:val="0"/>
                  <w:vAlign w:val="center"/>
                </w:tcPr>
                <w:p w14:paraId="638C50C3">
                  <w:pPr>
                    <w:jc w:val="center"/>
                    <w:rPr>
                      <w:rFonts w:hint="default" w:ascii="Times New Roman" w:hAnsi="Times New Roman" w:cs="Times New Roman"/>
                      <w:color w:val="auto"/>
                      <w:sz w:val="21"/>
                      <w:highlight w:val="none"/>
                      <w:vertAlign w:val="baseline"/>
                      <w:lang w:val="en-US" w:eastAsia="zh-CN"/>
                    </w:rPr>
                  </w:pPr>
                  <w:r>
                    <w:rPr>
                      <w:rFonts w:hint="eastAsia" w:ascii="Times New Roman" w:hAnsi="Times New Roman" w:cs="Times New Roman"/>
                      <w:color w:val="auto"/>
                      <w:sz w:val="21"/>
                      <w:highlight w:val="none"/>
                      <w:vertAlign w:val="baseline"/>
                      <w:lang w:val="en-US" w:eastAsia="zh-CN"/>
                    </w:rPr>
                    <w:t>0.</w:t>
                  </w:r>
                  <w:r>
                    <w:rPr>
                      <w:rFonts w:hint="eastAsia" w:cs="Times New Roman"/>
                      <w:color w:val="auto"/>
                      <w:sz w:val="21"/>
                      <w:highlight w:val="none"/>
                      <w:vertAlign w:val="baseline"/>
                      <w:lang w:val="en-US" w:eastAsia="zh-CN"/>
                    </w:rPr>
                    <w:t>6</w:t>
                  </w:r>
                </w:p>
              </w:tc>
              <w:tc>
                <w:tcPr>
                  <w:tcW w:w="1678" w:type="dxa"/>
                  <w:noWrap w:val="0"/>
                  <w:vAlign w:val="center"/>
                </w:tcPr>
                <w:p w14:paraId="2E8A9B61">
                  <w:pPr>
                    <w:jc w:val="center"/>
                    <w:rPr>
                      <w:rFonts w:hint="default" w:ascii="Times New Roman" w:hAnsi="Times New Roman" w:eastAsia="宋体" w:cs="Times New Roman"/>
                      <w:i w:val="0"/>
                      <w:caps w:val="0"/>
                      <w:color w:val="auto"/>
                      <w:spacing w:val="0"/>
                      <w:sz w:val="21"/>
                      <w:szCs w:val="24"/>
                      <w:highlight w:val="none"/>
                      <w:shd w:val="clear" w:color="auto" w:fill="FFFFFF"/>
                      <w:vertAlign w:val="baseline"/>
                      <w:lang w:val="en-US" w:eastAsia="zh-CN"/>
                    </w:rPr>
                  </w:pPr>
                  <w:r>
                    <w:rPr>
                      <w:rFonts w:hint="default" w:ascii="Times New Roman" w:hAnsi="Times New Roman" w:eastAsia="宋体" w:cs="Times New Roman"/>
                      <w:i w:val="0"/>
                      <w:caps w:val="0"/>
                      <w:color w:val="auto"/>
                      <w:spacing w:val="0"/>
                      <w:sz w:val="21"/>
                      <w:szCs w:val="24"/>
                      <w:highlight w:val="none"/>
                      <w:shd w:val="clear" w:color="auto" w:fill="FFFFFF"/>
                      <w:vertAlign w:val="baseline"/>
                      <w:lang w:val="en-US" w:eastAsia="zh-CN"/>
                    </w:rPr>
                    <w:t>/</w:t>
                  </w:r>
                </w:p>
              </w:tc>
              <w:tc>
                <w:tcPr>
                  <w:tcW w:w="1419" w:type="dxa"/>
                  <w:shd w:val="clear" w:color="auto" w:fill="auto"/>
                  <w:noWrap w:val="0"/>
                  <w:vAlign w:val="center"/>
                </w:tcPr>
                <w:p w14:paraId="7CDFC692">
                  <w:pPr>
                    <w:jc w:val="center"/>
                    <w:rPr>
                      <w:rFonts w:hint="default" w:cs="Times New Roman"/>
                      <w:color w:val="auto"/>
                      <w:sz w:val="21"/>
                      <w:highlight w:val="none"/>
                      <w:vertAlign w:val="baseline"/>
                      <w:lang w:val="en-US" w:eastAsia="zh-CN"/>
                    </w:rPr>
                  </w:pPr>
                  <w:r>
                    <w:rPr>
                      <w:rFonts w:hint="eastAsia" w:cs="Times New Roman"/>
                      <w:color w:val="auto"/>
                      <w:sz w:val="21"/>
                      <w:highlight w:val="none"/>
                      <w:vertAlign w:val="baseline"/>
                      <w:lang w:val="en-US" w:eastAsia="zh-CN"/>
                    </w:rPr>
                    <w:t>0.6136</w:t>
                  </w:r>
                </w:p>
              </w:tc>
              <w:tc>
                <w:tcPr>
                  <w:tcW w:w="1060" w:type="dxa"/>
                  <w:noWrap w:val="0"/>
                  <w:vAlign w:val="center"/>
                </w:tcPr>
                <w:p w14:paraId="1104B1A2">
                  <w:pPr>
                    <w:jc w:val="center"/>
                    <w:rPr>
                      <w:rFonts w:hint="default" w:ascii="Times New Roman" w:hAnsi="Times New Roman" w:cs="Times New Roman"/>
                      <w:color w:val="auto"/>
                      <w:sz w:val="21"/>
                      <w:highlight w:val="none"/>
                      <w:vertAlign w:val="baseline"/>
                      <w:lang w:val="en-US" w:eastAsia="zh-CN"/>
                    </w:rPr>
                  </w:pPr>
                  <w:r>
                    <w:rPr>
                      <w:rFonts w:hint="default" w:ascii="Times New Roman" w:hAnsi="Times New Roman" w:cs="Times New Roman"/>
                      <w:color w:val="auto"/>
                      <w:sz w:val="21"/>
                      <w:highlight w:val="none"/>
                      <w:vertAlign w:val="baseline"/>
                      <w:lang w:val="en-US" w:eastAsia="zh-CN"/>
                    </w:rPr>
                    <w:t>/</w:t>
                  </w:r>
                </w:p>
              </w:tc>
              <w:tc>
                <w:tcPr>
                  <w:tcW w:w="1086" w:type="dxa"/>
                  <w:noWrap w:val="0"/>
                  <w:vAlign w:val="center"/>
                </w:tcPr>
                <w:p w14:paraId="027FB128">
                  <w:pPr>
                    <w:jc w:val="center"/>
                    <w:rPr>
                      <w:rFonts w:hint="default" w:ascii="Times New Roman" w:hAnsi="Times New Roman" w:cs="Times New Roman"/>
                      <w:color w:val="auto"/>
                      <w:sz w:val="21"/>
                      <w:highlight w:val="none"/>
                      <w:vertAlign w:val="baseline"/>
                      <w:lang w:val="en-US" w:eastAsia="zh-CN"/>
                    </w:rPr>
                  </w:pPr>
                  <w:r>
                    <w:rPr>
                      <w:rFonts w:hint="eastAsia" w:cs="Times New Roman"/>
                      <w:color w:val="auto"/>
                      <w:sz w:val="21"/>
                      <w:highlight w:val="none"/>
                      <w:vertAlign w:val="baseline"/>
                      <w:lang w:val="en-US" w:eastAsia="zh-CN"/>
                    </w:rPr>
                    <w:t>0.204</w:t>
                  </w:r>
                </w:p>
              </w:tc>
            </w:tr>
          </w:tbl>
          <w:p w14:paraId="755A6F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i w:val="0"/>
                <w:caps w:val="0"/>
                <w:color w:val="auto"/>
                <w:spacing w:val="0"/>
                <w:sz w:val="24"/>
                <w:szCs w:val="24"/>
                <w:highlight w:val="none"/>
                <w:shd w:val="clear" w:color="auto" w:fill="FFFFFF"/>
                <w:vertAlign w:val="baseline"/>
                <w:lang w:val="en-US" w:eastAsia="zh-CN"/>
              </w:rPr>
            </w:pPr>
            <w:r>
              <w:rPr>
                <w:rFonts w:hint="default" w:ascii="Times New Roman" w:hAnsi="Times New Roman" w:eastAsia="宋体" w:cs="Times New Roman"/>
                <w:color w:val="auto"/>
                <w:sz w:val="24"/>
                <w:szCs w:val="24"/>
                <w:highlight w:val="none"/>
                <w:lang w:val="en-US" w:eastAsia="zh-CN"/>
              </w:rPr>
              <w:t>根据上表，调配好的过油剂</w:t>
            </w:r>
            <w:r>
              <w:rPr>
                <w:rFonts w:hint="default" w:ascii="Times New Roman" w:hAnsi="Times New Roman" w:eastAsia="宋体" w:cs="Times New Roman"/>
                <w:i w:val="0"/>
                <w:caps w:val="0"/>
                <w:color w:val="auto"/>
                <w:spacing w:val="0"/>
                <w:sz w:val="24"/>
                <w:szCs w:val="24"/>
                <w:highlight w:val="none"/>
                <w:shd w:val="clear" w:color="auto" w:fill="FFFFFF"/>
                <w:vertAlign w:val="baseline"/>
                <w:lang w:val="en-US" w:eastAsia="zh-CN"/>
              </w:rPr>
              <w:t>VOCs含量为：</w:t>
            </w:r>
          </w:p>
          <w:p w14:paraId="1C9529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highlight w:val="none"/>
                <w:vertAlign w:val="baseline"/>
                <w:lang w:val="en-US" w:eastAsia="zh-CN"/>
              </w:rPr>
            </w:pPr>
            <w:r>
              <w:rPr>
                <w:rFonts w:hint="default" w:ascii="Times New Roman" w:hAnsi="Times New Roman" w:cs="Times New Roman"/>
                <w:i w:val="0"/>
                <w:caps w:val="0"/>
                <w:color w:val="auto"/>
                <w:spacing w:val="0"/>
                <w:sz w:val="24"/>
                <w:szCs w:val="24"/>
                <w:highlight w:val="none"/>
                <w:shd w:val="clear" w:color="auto" w:fill="FFFFFF"/>
                <w:vertAlign w:val="baseline"/>
                <w:lang w:val="en-US" w:eastAsia="zh-CN"/>
              </w:rPr>
              <w:t>0.</w:t>
            </w:r>
            <w:r>
              <w:rPr>
                <w:rFonts w:hint="eastAsia" w:cs="Times New Roman"/>
                <w:i w:val="0"/>
                <w:caps w:val="0"/>
                <w:color w:val="auto"/>
                <w:spacing w:val="0"/>
                <w:sz w:val="24"/>
                <w:szCs w:val="24"/>
                <w:highlight w:val="none"/>
                <w:shd w:val="clear" w:color="auto" w:fill="FFFFFF"/>
                <w:vertAlign w:val="baseline"/>
                <w:lang w:val="en-US" w:eastAsia="zh-CN"/>
              </w:rPr>
              <w:t>204</w:t>
            </w:r>
            <w:r>
              <w:rPr>
                <w:rFonts w:hint="default" w:ascii="Times New Roman" w:hAnsi="Times New Roman" w:cs="Times New Roman"/>
                <w:i w:val="0"/>
                <w:caps w:val="0"/>
                <w:color w:val="auto"/>
                <w:spacing w:val="0"/>
                <w:sz w:val="24"/>
                <w:szCs w:val="24"/>
                <w:highlight w:val="none"/>
                <w:shd w:val="clear" w:color="auto" w:fill="FFFFFF"/>
                <w:vertAlign w:val="baseline"/>
                <w:lang w:val="en-US" w:eastAsia="zh-CN"/>
              </w:rPr>
              <w:t>t÷0.6136</w:t>
            </w:r>
            <w:r>
              <w:rPr>
                <w:rFonts w:hint="default" w:ascii="Times New Roman" w:hAnsi="Times New Roman" w:eastAsia="宋体" w:cs="Times New Roman"/>
                <w:b/>
                <w:bCs/>
                <w:color w:val="auto"/>
                <w:sz w:val="24"/>
                <w:szCs w:val="24"/>
                <w:highlight w:val="none"/>
                <w:vertAlign w:val="baseline"/>
                <w:lang w:val="en-US" w:eastAsia="zh-CN"/>
              </w:rPr>
              <w:t>m</w:t>
            </w:r>
            <w:r>
              <w:rPr>
                <w:rFonts w:hint="default" w:ascii="Times New Roman" w:hAnsi="Times New Roman" w:eastAsia="宋体" w:cs="Times New Roman"/>
                <w:b/>
                <w:bCs/>
                <w:color w:val="auto"/>
                <w:sz w:val="24"/>
                <w:szCs w:val="24"/>
                <w:highlight w:val="none"/>
                <w:vertAlign w:val="superscript"/>
                <w:lang w:val="en-US" w:eastAsia="zh-CN"/>
              </w:rPr>
              <w:t>3</w:t>
            </w:r>
            <w:r>
              <w:rPr>
                <w:rFonts w:hint="default" w:ascii="Times New Roman" w:hAnsi="Times New Roman" w:eastAsia="宋体" w:cs="Times New Roman"/>
                <w:i w:val="0"/>
                <w:caps w:val="0"/>
                <w:color w:val="auto"/>
                <w:spacing w:val="0"/>
                <w:sz w:val="24"/>
                <w:szCs w:val="24"/>
                <w:highlight w:val="none"/>
                <w:shd w:val="clear" w:color="auto" w:fill="FFFFFF"/>
                <w:vertAlign w:val="baseline"/>
                <w:lang w:val="en-US" w:eastAsia="zh-CN"/>
              </w:rPr>
              <w:t>=</w:t>
            </w:r>
            <w:r>
              <w:rPr>
                <w:rFonts w:hint="eastAsia" w:cs="Times New Roman"/>
                <w:i w:val="0"/>
                <w:caps w:val="0"/>
                <w:color w:val="auto"/>
                <w:spacing w:val="0"/>
                <w:sz w:val="24"/>
                <w:szCs w:val="24"/>
                <w:highlight w:val="none"/>
                <w:shd w:val="clear" w:color="auto" w:fill="FFFFFF"/>
                <w:vertAlign w:val="baseline"/>
                <w:lang w:val="en-US" w:eastAsia="zh-CN"/>
              </w:rPr>
              <w:t xml:space="preserve"> 332.5</w:t>
            </w:r>
            <w:r>
              <w:rPr>
                <w:rFonts w:hint="default" w:ascii="Times New Roman" w:hAnsi="Times New Roman" w:cs="Times New Roman"/>
                <w:i w:val="0"/>
                <w:caps w:val="0"/>
                <w:color w:val="auto"/>
                <w:spacing w:val="0"/>
                <w:sz w:val="24"/>
                <w:szCs w:val="24"/>
                <w:highlight w:val="none"/>
                <w:shd w:val="clear" w:color="auto" w:fill="FFFFFF"/>
                <w:vertAlign w:val="baseline"/>
                <w:lang w:val="en-US" w:eastAsia="zh-CN"/>
              </w:rPr>
              <w:t>t/m</w:t>
            </w:r>
            <w:r>
              <w:rPr>
                <w:rFonts w:hint="default" w:ascii="Times New Roman" w:hAnsi="Times New Roman" w:cs="Times New Roman"/>
                <w:i w:val="0"/>
                <w:caps w:val="0"/>
                <w:color w:val="auto"/>
                <w:spacing w:val="0"/>
                <w:sz w:val="24"/>
                <w:szCs w:val="24"/>
                <w:highlight w:val="none"/>
                <w:shd w:val="clear" w:color="auto" w:fill="FFFFFF"/>
                <w:vertAlign w:val="superscript"/>
                <w:lang w:val="en-US" w:eastAsia="zh-CN"/>
              </w:rPr>
              <w:t>3</w:t>
            </w:r>
            <w:r>
              <w:rPr>
                <w:rFonts w:hint="default" w:ascii="Times New Roman" w:hAnsi="Times New Roman" w:eastAsia="宋体" w:cs="Times New Roman"/>
                <w:i w:val="0"/>
                <w:caps w:val="0"/>
                <w:color w:val="auto"/>
                <w:spacing w:val="0"/>
                <w:sz w:val="24"/>
                <w:szCs w:val="24"/>
                <w:highlight w:val="none"/>
                <w:shd w:val="clear" w:color="auto" w:fill="FFFFFF"/>
                <w:vertAlign w:val="baseline"/>
                <w:lang w:val="en-US" w:eastAsia="zh-CN"/>
              </w:rPr>
              <w:t>=</w:t>
            </w:r>
            <w:r>
              <w:rPr>
                <w:rFonts w:hint="eastAsia" w:cs="Times New Roman"/>
                <w:i w:val="0"/>
                <w:caps w:val="0"/>
                <w:color w:val="auto"/>
                <w:spacing w:val="0"/>
                <w:sz w:val="24"/>
                <w:szCs w:val="24"/>
                <w:highlight w:val="none"/>
                <w:shd w:val="clear" w:color="auto" w:fill="FFFFFF"/>
                <w:vertAlign w:val="baseline"/>
                <w:lang w:val="en-US" w:eastAsia="zh-CN"/>
              </w:rPr>
              <w:t xml:space="preserve"> 332.5</w:t>
            </w:r>
            <w:r>
              <w:rPr>
                <w:rFonts w:hint="default" w:ascii="Times New Roman" w:hAnsi="Times New Roman" w:eastAsia="宋体" w:cs="Times New Roman"/>
                <w:i w:val="0"/>
                <w:caps w:val="0"/>
                <w:color w:val="auto"/>
                <w:spacing w:val="0"/>
                <w:sz w:val="24"/>
                <w:szCs w:val="24"/>
                <w:highlight w:val="none"/>
                <w:shd w:val="clear" w:color="auto" w:fill="FFFFFF"/>
                <w:vertAlign w:val="baseline"/>
                <w:lang w:val="en-US" w:eastAsia="zh-CN"/>
              </w:rPr>
              <w:t>g</w:t>
            </w:r>
            <w:r>
              <w:rPr>
                <w:rFonts w:hint="default" w:ascii="Times New Roman" w:hAnsi="Times New Roman" w:eastAsia="宋体" w:cs="Times New Roman"/>
                <w:color w:val="auto"/>
                <w:sz w:val="24"/>
                <w:szCs w:val="24"/>
                <w:highlight w:val="none"/>
                <w:vertAlign w:val="baseline"/>
                <w:lang w:val="en-US" w:eastAsia="zh-CN"/>
              </w:rPr>
              <w:t>/</w:t>
            </w:r>
            <w:r>
              <w:rPr>
                <w:rFonts w:hint="default" w:ascii="Times New Roman" w:hAnsi="Times New Roman" w:cs="Times New Roman"/>
                <w:color w:val="auto"/>
                <w:sz w:val="24"/>
                <w:szCs w:val="24"/>
                <w:highlight w:val="none"/>
                <w:vertAlign w:val="baseline"/>
                <w:lang w:val="en-US" w:eastAsia="zh-CN"/>
              </w:rPr>
              <w:t>L</w:t>
            </w:r>
          </w:p>
          <w:p w14:paraId="5E0E89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vertAlign w:val="baseline"/>
                <w:lang w:val="en-US" w:eastAsia="zh-CN"/>
              </w:rPr>
              <w:t>因此</w:t>
            </w:r>
            <w:r>
              <w:rPr>
                <w:rFonts w:hint="default" w:ascii="Times New Roman" w:hAnsi="Times New Roman" w:eastAsia="宋体" w:cs="Times New Roman"/>
                <w:color w:val="auto"/>
                <w:sz w:val="24"/>
                <w:szCs w:val="24"/>
                <w:highlight w:val="none"/>
                <w:lang w:val="en-US" w:eastAsia="zh-CN"/>
              </w:rPr>
              <w:t>调配好的过油剂</w:t>
            </w:r>
            <w:r>
              <w:rPr>
                <w:rFonts w:hint="default" w:ascii="Times New Roman" w:hAnsi="Times New Roman" w:eastAsia="宋体" w:cs="Times New Roman"/>
                <w:i w:val="0"/>
                <w:caps w:val="0"/>
                <w:color w:val="auto"/>
                <w:spacing w:val="0"/>
                <w:sz w:val="24"/>
                <w:szCs w:val="24"/>
                <w:highlight w:val="none"/>
                <w:shd w:val="clear" w:color="auto" w:fill="FFFFFF"/>
                <w:vertAlign w:val="baseline"/>
                <w:lang w:val="en-US" w:eastAsia="zh-CN"/>
              </w:rPr>
              <w:t>VOCs含量为</w:t>
            </w:r>
            <w:r>
              <w:rPr>
                <w:rFonts w:hint="eastAsia" w:cs="Times New Roman"/>
                <w:i w:val="0"/>
                <w:caps w:val="0"/>
                <w:color w:val="auto"/>
                <w:spacing w:val="0"/>
                <w:sz w:val="24"/>
                <w:szCs w:val="24"/>
                <w:highlight w:val="none"/>
                <w:shd w:val="clear" w:color="auto" w:fill="FFFFFF"/>
                <w:vertAlign w:val="baseline"/>
                <w:lang w:val="en-US" w:eastAsia="zh-CN"/>
              </w:rPr>
              <w:t xml:space="preserve"> 332.5</w:t>
            </w:r>
            <w:r>
              <w:rPr>
                <w:rFonts w:hint="default" w:ascii="Times New Roman" w:hAnsi="Times New Roman" w:eastAsia="宋体" w:cs="Times New Roman"/>
                <w:i w:val="0"/>
                <w:caps w:val="0"/>
                <w:color w:val="auto"/>
                <w:spacing w:val="0"/>
                <w:sz w:val="24"/>
                <w:szCs w:val="24"/>
                <w:highlight w:val="none"/>
                <w:shd w:val="clear" w:color="auto" w:fill="FFFFFF"/>
                <w:vertAlign w:val="baseline"/>
                <w:lang w:val="en-US" w:eastAsia="zh-CN"/>
              </w:rPr>
              <w:t>g</w:t>
            </w:r>
            <w:r>
              <w:rPr>
                <w:rFonts w:hint="default" w:ascii="Times New Roman" w:hAnsi="Times New Roman" w:eastAsia="宋体" w:cs="Times New Roman"/>
                <w:color w:val="auto"/>
                <w:sz w:val="24"/>
                <w:szCs w:val="24"/>
                <w:highlight w:val="none"/>
                <w:vertAlign w:val="baseline"/>
                <w:lang w:val="en-US" w:eastAsia="zh-CN"/>
              </w:rPr>
              <w:t>/</w:t>
            </w:r>
            <w:r>
              <w:rPr>
                <w:rFonts w:hint="default" w:ascii="Times New Roman" w:hAnsi="Times New Roman" w:cs="Times New Roman"/>
                <w:color w:val="auto"/>
                <w:sz w:val="24"/>
                <w:szCs w:val="24"/>
                <w:highlight w:val="none"/>
                <w:vertAlign w:val="baseline"/>
                <w:lang w:val="en-US" w:eastAsia="zh-CN"/>
              </w:rPr>
              <w:t>L。</w:t>
            </w:r>
          </w:p>
          <w:p w14:paraId="547C5F66">
            <w:pPr>
              <w:keepLines w:val="0"/>
              <w:pageBreakBefore w:val="0"/>
              <w:kinsoku/>
              <w:wordWrap/>
              <w:topLinePunct w:val="0"/>
              <w:autoSpaceDE/>
              <w:autoSpaceDN/>
              <w:bidi w:val="0"/>
              <w:adjustRightInd/>
              <w:spacing w:line="360" w:lineRule="auto"/>
              <w:ind w:left="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fldChar w:fldCharType="begin"/>
            </w:r>
            <w:r>
              <w:rPr>
                <w:rFonts w:hint="eastAsia" w:cs="Times New Roman"/>
                <w:b/>
                <w:bCs/>
                <w:color w:val="auto"/>
                <w:sz w:val="24"/>
                <w:szCs w:val="24"/>
                <w:highlight w:val="none"/>
                <w:lang w:val="en-US" w:eastAsia="zh-CN"/>
              </w:rPr>
              <w:instrText xml:space="preserve"> = 2 \* GB3 \* MERGEFORMAT </w:instrText>
            </w:r>
            <w:r>
              <w:rPr>
                <w:rFonts w:hint="eastAsia" w:cs="Times New Roman"/>
                <w:b/>
                <w:bCs/>
                <w:color w:val="auto"/>
                <w:sz w:val="24"/>
                <w:szCs w:val="24"/>
                <w:highlight w:val="none"/>
                <w:lang w:val="en-US" w:eastAsia="zh-CN"/>
              </w:rPr>
              <w:fldChar w:fldCharType="separate"/>
            </w:r>
            <w:r>
              <w:rPr>
                <w:b/>
                <w:bCs/>
                <w:color w:val="auto"/>
                <w:sz w:val="24"/>
                <w:szCs w:val="24"/>
              </w:rPr>
              <w:t>②</w:t>
            </w:r>
            <w:r>
              <w:rPr>
                <w:rFonts w:hint="eastAsia" w:cs="Times New Roman"/>
                <w:b/>
                <w:bCs/>
                <w:color w:val="auto"/>
                <w:sz w:val="24"/>
                <w:szCs w:val="24"/>
                <w:highlight w:val="none"/>
                <w:lang w:val="en-US" w:eastAsia="zh-CN"/>
              </w:rPr>
              <w:fldChar w:fldCharType="end"/>
            </w:r>
            <w:r>
              <w:rPr>
                <w:rFonts w:hint="eastAsia" w:ascii="Times New Roman" w:hAnsi="Times New Roman" w:eastAsia="宋体" w:cs="Times New Roman"/>
                <w:b/>
                <w:bCs/>
                <w:color w:val="auto"/>
                <w:sz w:val="24"/>
                <w:szCs w:val="24"/>
                <w:highlight w:val="none"/>
                <w:lang w:val="en-US" w:eastAsia="zh-CN"/>
              </w:rPr>
              <w:t>封口胶</w:t>
            </w:r>
            <w:r>
              <w:rPr>
                <w:rFonts w:hint="eastAsia" w:cs="Times New Roman"/>
                <w:b/>
                <w:bCs/>
                <w:color w:val="auto"/>
                <w:sz w:val="24"/>
                <w:szCs w:val="24"/>
                <w:highlight w:val="none"/>
                <w:lang w:val="en-US" w:eastAsia="zh-CN"/>
              </w:rPr>
              <w:t>、油墨清洗剂和润版液</w:t>
            </w:r>
          </w:p>
          <w:p w14:paraId="533AEF6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2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根据建设单位使用的物料以及各自的VOCs检测报告，物料与有机化合物含量限值文件的符合性如下：</w:t>
            </w:r>
          </w:p>
          <w:p w14:paraId="7263F5D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0" w:afterAutospacing="0" w:line="240" w:lineRule="auto"/>
              <w:ind w:left="0" w:right="0" w:firstLine="420"/>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表</w:t>
            </w:r>
            <w:r>
              <w:rPr>
                <w:rFonts w:hint="eastAsia" w:ascii="宋体" w:hAnsi="宋体" w:cs="宋体"/>
                <w:b/>
                <w:bCs/>
                <w:color w:val="auto"/>
                <w:sz w:val="21"/>
                <w:szCs w:val="21"/>
                <w:highlight w:val="none"/>
                <w:lang w:val="en-US" w:eastAsia="zh-CN"/>
              </w:rPr>
              <w:t>2-9</w:t>
            </w:r>
            <w:r>
              <w:rPr>
                <w:rFonts w:hint="eastAsia" w:ascii="宋体" w:hAnsi="宋体" w:eastAsia="宋体" w:cs="宋体"/>
                <w:b/>
                <w:bCs/>
                <w:color w:val="auto"/>
                <w:sz w:val="21"/>
                <w:szCs w:val="21"/>
                <w:highlight w:val="none"/>
                <w:lang w:val="en-US" w:eastAsia="zh-CN"/>
              </w:rPr>
              <w:t xml:space="preserve"> 低VOCs物料判定结果一览表</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7"/>
              <w:gridCol w:w="1129"/>
              <w:gridCol w:w="1181"/>
              <w:gridCol w:w="1125"/>
              <w:gridCol w:w="3080"/>
            </w:tblGrid>
            <w:tr w14:paraId="6F46D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7" w:type="dxa"/>
                  <w:noWrap w:val="0"/>
                  <w:vAlign w:val="top"/>
                </w:tcPr>
                <w:p w14:paraId="6293334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原材料名称</w:t>
                  </w:r>
                </w:p>
              </w:tc>
              <w:tc>
                <w:tcPr>
                  <w:tcW w:w="1129" w:type="dxa"/>
                  <w:noWrap w:val="0"/>
                  <w:vAlign w:val="top"/>
                </w:tcPr>
                <w:p w14:paraId="1F083D0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种类</w:t>
                  </w:r>
                </w:p>
              </w:tc>
              <w:tc>
                <w:tcPr>
                  <w:tcW w:w="1181" w:type="dxa"/>
                  <w:noWrap w:val="0"/>
                  <w:vAlign w:val="top"/>
                </w:tcPr>
                <w:p w14:paraId="3752B0E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default"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VOCs含量</w:t>
                  </w:r>
                </w:p>
              </w:tc>
              <w:tc>
                <w:tcPr>
                  <w:tcW w:w="1125" w:type="dxa"/>
                  <w:noWrap w:val="0"/>
                  <w:vAlign w:val="top"/>
                </w:tcPr>
                <w:p w14:paraId="432C20C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判定结果</w:t>
                  </w:r>
                </w:p>
              </w:tc>
              <w:tc>
                <w:tcPr>
                  <w:tcW w:w="3080" w:type="dxa"/>
                  <w:noWrap w:val="0"/>
                  <w:vAlign w:val="top"/>
                </w:tcPr>
                <w:p w14:paraId="5AD65FF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lang w:val="en-US" w:eastAsia="zh-CN"/>
                    </w:rPr>
                    <w:t>低VOCs</w:t>
                  </w:r>
                  <w:r>
                    <w:rPr>
                      <w:rFonts w:hint="eastAsia" w:ascii="宋体" w:hAnsi="宋体" w:eastAsia="宋体" w:cs="宋体"/>
                      <w:b/>
                      <w:bCs/>
                      <w:color w:val="auto"/>
                      <w:sz w:val="21"/>
                      <w:szCs w:val="21"/>
                      <w:highlight w:val="none"/>
                      <w:vertAlign w:val="baseline"/>
                      <w:lang w:val="en-US" w:eastAsia="zh-CN"/>
                    </w:rPr>
                    <w:t>判定依据</w:t>
                  </w:r>
                </w:p>
              </w:tc>
            </w:tr>
            <w:tr w14:paraId="28661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7" w:type="dxa"/>
                  <w:noWrap w:val="0"/>
                  <w:vAlign w:val="center"/>
                </w:tcPr>
                <w:p w14:paraId="62907AE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leftChars="0" w:right="0" w:firstLine="0" w:firstLineChars="0"/>
                    <w:jc w:val="center"/>
                    <w:textAlignment w:val="auto"/>
                    <w:rPr>
                      <w:rFonts w:hint="eastAsia" w:ascii="宋体" w:hAnsi="宋体" w:eastAsia="宋体" w:cs="宋体"/>
                      <w:b/>
                      <w:bCs/>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大豆油墨</w:t>
                  </w:r>
                </w:p>
              </w:tc>
              <w:tc>
                <w:tcPr>
                  <w:tcW w:w="1129" w:type="dxa"/>
                  <w:noWrap w:val="0"/>
                  <w:vAlign w:val="center"/>
                </w:tcPr>
                <w:p w14:paraId="3EB5A8E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胶印油墨</w:t>
                  </w:r>
                </w:p>
              </w:tc>
              <w:tc>
                <w:tcPr>
                  <w:tcW w:w="1181" w:type="dxa"/>
                  <w:noWrap w:val="0"/>
                  <w:vAlign w:val="center"/>
                </w:tcPr>
                <w:p w14:paraId="4D6952A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0.1%</w:t>
                  </w:r>
                </w:p>
              </w:tc>
              <w:tc>
                <w:tcPr>
                  <w:tcW w:w="1125" w:type="dxa"/>
                  <w:noWrap w:val="0"/>
                  <w:vAlign w:val="center"/>
                </w:tcPr>
                <w:p w14:paraId="680D12B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符合</w:t>
                  </w:r>
                </w:p>
              </w:tc>
              <w:tc>
                <w:tcPr>
                  <w:tcW w:w="3080" w:type="dxa"/>
                  <w:vMerge w:val="restart"/>
                  <w:noWrap w:val="0"/>
                  <w:vAlign w:val="top"/>
                </w:tcPr>
                <w:p w14:paraId="31597C6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《油墨中可挥发性有机化合物（VOCs）含量限值》4.1“</w:t>
                  </w:r>
                  <w:r>
                    <w:rPr>
                      <w:rFonts w:hint="eastAsia" w:cs="Times New Roman"/>
                      <w:b w:val="0"/>
                      <w:bCs w:val="0"/>
                      <w:color w:val="auto"/>
                      <w:sz w:val="21"/>
                      <w:szCs w:val="21"/>
                      <w:highlight w:val="none"/>
                      <w:vertAlign w:val="baseline"/>
                      <w:lang w:val="en-US" w:eastAsia="zh-CN"/>
                    </w:rPr>
                    <w:t>大豆油墨</w:t>
                  </w:r>
                  <w:r>
                    <w:rPr>
                      <w:rFonts w:hint="default" w:ascii="Times New Roman" w:hAnsi="Times New Roman" w:eastAsia="宋体" w:cs="Times New Roman"/>
                      <w:b w:val="0"/>
                      <w:bCs w:val="0"/>
                      <w:color w:val="auto"/>
                      <w:sz w:val="21"/>
                      <w:szCs w:val="21"/>
                      <w:highlight w:val="none"/>
                      <w:vertAlign w:val="baseline"/>
                      <w:lang w:val="en-US" w:eastAsia="zh-CN"/>
                    </w:rPr>
                    <w:t>、胶印油墨、能量固化油墨、雕刻凹印油墨为低挥发性有机化合物含量油墨产品”</w:t>
                  </w:r>
                </w:p>
              </w:tc>
            </w:tr>
            <w:tr w14:paraId="74A93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7" w:type="dxa"/>
                  <w:shd w:val="clear" w:color="auto" w:fill="auto"/>
                  <w:noWrap w:val="0"/>
                  <w:vAlign w:val="center"/>
                </w:tcPr>
                <w:p w14:paraId="590873D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sz w:val="21"/>
                      <w:szCs w:val="21"/>
                      <w:highlight w:val="none"/>
                      <w:vertAlign w:val="baseline"/>
                      <w:lang w:val="en-US" w:eastAsia="zh-CN"/>
                    </w:rPr>
                    <w:t>水性光油</w:t>
                  </w:r>
                </w:p>
              </w:tc>
              <w:tc>
                <w:tcPr>
                  <w:tcW w:w="1129" w:type="dxa"/>
                  <w:shd w:val="clear" w:color="auto" w:fill="auto"/>
                  <w:noWrap w:val="0"/>
                  <w:vAlign w:val="center"/>
                </w:tcPr>
                <w:p w14:paraId="46EB3D3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sz w:val="21"/>
                      <w:szCs w:val="21"/>
                      <w:highlight w:val="none"/>
                      <w:vertAlign w:val="baseline"/>
                      <w:lang w:val="en-US" w:eastAsia="zh-CN"/>
                    </w:rPr>
                    <w:t>上光油墨</w:t>
                  </w:r>
                </w:p>
              </w:tc>
              <w:tc>
                <w:tcPr>
                  <w:tcW w:w="1181" w:type="dxa"/>
                  <w:shd w:val="clear" w:color="auto" w:fill="auto"/>
                  <w:noWrap w:val="0"/>
                  <w:vAlign w:val="center"/>
                </w:tcPr>
                <w:p w14:paraId="3129873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sz w:val="21"/>
                      <w:szCs w:val="21"/>
                      <w:highlight w:val="none"/>
                      <w:vertAlign w:val="baseline"/>
                      <w:lang w:val="en-US" w:eastAsia="zh-CN"/>
                    </w:rPr>
                    <w:t>0.1</w:t>
                  </w:r>
                  <w:r>
                    <w:rPr>
                      <w:rFonts w:hint="default" w:ascii="Times New Roman" w:hAnsi="Times New Roman" w:eastAsia="宋体" w:cs="Times New Roman"/>
                      <w:b w:val="0"/>
                      <w:bCs w:val="0"/>
                      <w:color w:val="auto"/>
                      <w:sz w:val="21"/>
                      <w:szCs w:val="21"/>
                      <w:highlight w:val="none"/>
                      <w:vertAlign w:val="baseline"/>
                      <w:lang w:val="en-US" w:eastAsia="zh-CN"/>
                    </w:rPr>
                    <w:t>%</w:t>
                  </w:r>
                </w:p>
              </w:tc>
              <w:tc>
                <w:tcPr>
                  <w:tcW w:w="1125" w:type="dxa"/>
                  <w:shd w:val="clear" w:color="auto" w:fill="auto"/>
                  <w:noWrap w:val="0"/>
                  <w:vAlign w:val="center"/>
                </w:tcPr>
                <w:p w14:paraId="558DE45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leftChars="0" w:right="0" w:rightChars="0" w:firstLine="0" w:firstLineChars="0"/>
                    <w:jc w:val="center"/>
                    <w:textAlignment w:val="auto"/>
                    <w:rPr>
                      <w:rFonts w:hint="default" w:ascii="宋体" w:hAnsi="宋体" w:eastAsia="宋体" w:cs="宋体"/>
                      <w:b w:val="0"/>
                      <w:bCs w:val="0"/>
                      <w:color w:val="auto"/>
                      <w:kern w:val="2"/>
                      <w:sz w:val="21"/>
                      <w:szCs w:val="21"/>
                      <w:highlight w:val="none"/>
                      <w:vertAlign w:val="baseline"/>
                      <w:lang w:val="en-US" w:eastAsia="zh-CN" w:bidi="ar-SA"/>
                    </w:rPr>
                  </w:pPr>
                  <w:r>
                    <w:rPr>
                      <w:rFonts w:hint="eastAsia" w:ascii="宋体" w:hAnsi="宋体" w:eastAsia="宋体" w:cs="宋体"/>
                      <w:b w:val="0"/>
                      <w:bCs w:val="0"/>
                      <w:color w:val="auto"/>
                      <w:sz w:val="21"/>
                      <w:szCs w:val="21"/>
                      <w:highlight w:val="none"/>
                      <w:vertAlign w:val="baseline"/>
                      <w:lang w:val="en-US" w:eastAsia="zh-CN"/>
                    </w:rPr>
                    <w:t>符合</w:t>
                  </w:r>
                </w:p>
              </w:tc>
              <w:tc>
                <w:tcPr>
                  <w:tcW w:w="3080" w:type="dxa"/>
                  <w:vMerge w:val="continue"/>
                  <w:noWrap w:val="0"/>
                  <w:vAlign w:val="top"/>
                </w:tcPr>
                <w:p w14:paraId="37EBAC5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r>
            <w:tr w14:paraId="4B187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7" w:type="dxa"/>
                  <w:noWrap w:val="0"/>
                  <w:vAlign w:val="center"/>
                </w:tcPr>
                <w:p w14:paraId="4738483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leftChars="0" w:right="0" w:firstLine="0" w:firstLineChars="0"/>
                    <w:jc w:val="center"/>
                    <w:textAlignment w:val="auto"/>
                    <w:rPr>
                      <w:rFonts w:hint="eastAsia" w:ascii="宋体" w:hAnsi="宋体" w:eastAsia="宋体" w:cs="宋体"/>
                      <w:b/>
                      <w:bCs/>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封口胶</w:t>
                  </w:r>
                </w:p>
              </w:tc>
              <w:tc>
                <w:tcPr>
                  <w:tcW w:w="1129" w:type="dxa"/>
                  <w:noWrap w:val="0"/>
                  <w:vAlign w:val="center"/>
                </w:tcPr>
                <w:p w14:paraId="0A14695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溶剂型</w:t>
                  </w:r>
                  <w:r>
                    <w:rPr>
                      <w:rFonts w:hint="eastAsia" w:ascii="Times New Roman" w:hAnsi="Times New Roman" w:eastAsia="宋体" w:cs="Times New Roman"/>
                      <w:b w:val="0"/>
                      <w:bCs w:val="0"/>
                      <w:color w:val="auto"/>
                      <w:sz w:val="21"/>
                      <w:szCs w:val="21"/>
                      <w:highlight w:val="none"/>
                      <w:vertAlign w:val="baseline"/>
                      <w:lang w:val="en-US" w:eastAsia="zh-CN"/>
                    </w:rPr>
                    <w:t>胶粘剂</w:t>
                  </w:r>
                </w:p>
              </w:tc>
              <w:tc>
                <w:tcPr>
                  <w:tcW w:w="1181" w:type="dxa"/>
                  <w:noWrap w:val="0"/>
                  <w:vAlign w:val="center"/>
                </w:tcPr>
                <w:p w14:paraId="36A8167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216</w:t>
                  </w:r>
                  <w:r>
                    <w:rPr>
                      <w:rFonts w:hint="default" w:ascii="Times New Roman" w:hAnsi="Times New Roman" w:eastAsia="宋体" w:cs="Times New Roman"/>
                      <w:b w:val="0"/>
                      <w:bCs w:val="0"/>
                      <w:color w:val="auto"/>
                      <w:sz w:val="21"/>
                      <w:szCs w:val="21"/>
                      <w:highlight w:val="none"/>
                      <w:vertAlign w:val="baseline"/>
                      <w:lang w:val="en-US" w:eastAsia="zh-CN"/>
                    </w:rPr>
                    <w:t>g/L</w:t>
                  </w:r>
                </w:p>
              </w:tc>
              <w:tc>
                <w:tcPr>
                  <w:tcW w:w="1125" w:type="dxa"/>
                  <w:noWrap w:val="0"/>
                  <w:vAlign w:val="center"/>
                </w:tcPr>
                <w:p w14:paraId="3FC23EA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符合</w:t>
                  </w:r>
                </w:p>
              </w:tc>
              <w:tc>
                <w:tcPr>
                  <w:tcW w:w="3080" w:type="dxa"/>
                  <w:noWrap w:val="0"/>
                  <w:vAlign w:val="top"/>
                </w:tcPr>
                <w:p w14:paraId="02BE86A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《胶粘剂挥发性有机物化合物限量》表</w:t>
                  </w:r>
                  <w:r>
                    <w:rPr>
                      <w:rFonts w:hint="eastAsia" w:cs="Times New Roman"/>
                      <w:b w:val="0"/>
                      <w:bCs w:val="0"/>
                      <w:color w:val="auto"/>
                      <w:sz w:val="21"/>
                      <w:szCs w:val="21"/>
                      <w:highlight w:val="none"/>
                      <w:vertAlign w:val="baseline"/>
                      <w:lang w:val="en-US" w:eastAsia="zh-CN"/>
                    </w:rPr>
                    <w:t>3溶剂型胶粘剂</w:t>
                  </w:r>
                  <w:r>
                    <w:rPr>
                      <w:rFonts w:hint="default" w:ascii="Times New Roman" w:hAnsi="Times New Roman" w:eastAsia="宋体" w:cs="Times New Roman"/>
                      <w:b w:val="0"/>
                      <w:bCs w:val="0"/>
                      <w:color w:val="auto"/>
                      <w:sz w:val="21"/>
                      <w:szCs w:val="21"/>
                      <w:highlight w:val="none"/>
                      <w:vertAlign w:val="baseline"/>
                      <w:lang w:val="en-US" w:eastAsia="zh-CN"/>
                    </w:rPr>
                    <w:t>VOC含量限量，应用领域包装</w:t>
                  </w:r>
                  <w:r>
                    <w:rPr>
                      <w:rFonts w:hint="eastAsia" w:cs="Times New Roman"/>
                      <w:b w:val="0"/>
                      <w:bCs w:val="0"/>
                      <w:color w:val="auto"/>
                      <w:sz w:val="21"/>
                      <w:szCs w:val="21"/>
                      <w:highlight w:val="none"/>
                      <w:vertAlign w:val="baseline"/>
                      <w:lang w:val="en-US" w:eastAsia="zh-CN"/>
                    </w:rPr>
                    <w:t>其他</w:t>
                  </w:r>
                  <w:r>
                    <w:rPr>
                      <w:rFonts w:hint="eastAsia" w:ascii="Times New Roman" w:hAnsi="Times New Roman" w:eastAsia="宋体" w:cs="Times New Roman"/>
                      <w:b w:val="0"/>
                      <w:bCs w:val="0"/>
                      <w:color w:val="auto"/>
                      <w:sz w:val="21"/>
                      <w:szCs w:val="21"/>
                      <w:highlight w:val="none"/>
                      <w:vertAlign w:val="baseline"/>
                      <w:lang w:val="en-US" w:eastAsia="zh-CN"/>
                    </w:rPr>
                    <w:t>限量值</w:t>
                  </w:r>
                  <w:r>
                    <w:rPr>
                      <w:rFonts w:hint="default" w:ascii="Times New Roman" w:hAnsi="Times New Roman" w:eastAsia="宋体" w:cs="Times New Roman"/>
                      <w:b w:val="0"/>
                      <w:bCs w:val="0"/>
                      <w:color w:val="auto"/>
                      <w:sz w:val="21"/>
                      <w:szCs w:val="21"/>
                      <w:highlight w:val="none"/>
                      <w:vertAlign w:val="baseline"/>
                      <w:lang w:val="en-US" w:eastAsia="zh-CN"/>
                    </w:rPr>
                    <w:t>≤</w:t>
                  </w:r>
                  <w:r>
                    <w:rPr>
                      <w:rFonts w:hint="eastAsia" w:cs="Times New Roman"/>
                      <w:b w:val="0"/>
                      <w:bCs w:val="0"/>
                      <w:color w:val="auto"/>
                      <w:sz w:val="21"/>
                      <w:szCs w:val="21"/>
                      <w:highlight w:val="none"/>
                      <w:vertAlign w:val="baseline"/>
                      <w:lang w:val="en-US" w:eastAsia="zh-CN"/>
                    </w:rPr>
                    <w:t>250</w:t>
                  </w:r>
                  <w:r>
                    <w:rPr>
                      <w:rFonts w:hint="default" w:ascii="Times New Roman" w:hAnsi="Times New Roman" w:eastAsia="宋体" w:cs="Times New Roman"/>
                      <w:b w:val="0"/>
                      <w:bCs w:val="0"/>
                      <w:color w:val="auto"/>
                      <w:sz w:val="21"/>
                      <w:szCs w:val="21"/>
                      <w:highlight w:val="none"/>
                      <w:vertAlign w:val="baseline"/>
                      <w:lang w:val="en-US" w:eastAsia="zh-CN"/>
                    </w:rPr>
                    <w:t>g/L</w:t>
                  </w:r>
                </w:p>
              </w:tc>
            </w:tr>
            <w:tr w14:paraId="13D1D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1357" w:type="dxa"/>
                  <w:noWrap w:val="0"/>
                  <w:vAlign w:val="center"/>
                </w:tcPr>
                <w:p w14:paraId="5D67CB19">
                  <w:pPr>
                    <w:keepNext w:val="0"/>
                    <w:keepLines w:val="0"/>
                    <w:suppressLineNumbers w:val="0"/>
                    <w:spacing w:before="0" w:beforeAutospacing="0" w:after="0" w:afterAutospacing="0"/>
                    <w:ind w:left="0" w:right="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油墨清洗剂</w:t>
                  </w:r>
                </w:p>
                <w:p w14:paraId="0849FC95">
                  <w:pPr>
                    <w:keepNext w:val="0"/>
                    <w:keepLines w:val="0"/>
                    <w:suppressLineNumbers w:val="0"/>
                    <w:spacing w:before="0" w:beforeAutospacing="0" w:after="0" w:afterAutospacing="0"/>
                    <w:ind w:left="0" w:right="0"/>
                    <w:jc w:val="center"/>
                    <w:rPr>
                      <w:rFonts w:hint="eastAsia" w:ascii="宋体" w:hAnsi="宋体" w:eastAsia="宋体" w:cs="宋体"/>
                      <w:b/>
                      <w:bCs/>
                      <w:color w:val="auto"/>
                      <w:sz w:val="21"/>
                      <w:szCs w:val="21"/>
                      <w:highlight w:val="none"/>
                      <w:vertAlign w:val="baseline"/>
                      <w:lang w:val="en-US" w:eastAsia="zh-CN"/>
                    </w:rPr>
                  </w:pPr>
                  <w:r>
                    <w:rPr>
                      <w:rFonts w:hint="eastAsia" w:ascii="Times New Roman" w:hAnsi="Times New Roman" w:cs="Times New Roman"/>
                      <w:color w:val="auto"/>
                      <w:highlight w:val="none"/>
                      <w:lang w:val="en-US" w:eastAsia="zh-CN"/>
                    </w:rPr>
                    <w:t>（洗车水）</w:t>
                  </w:r>
                </w:p>
              </w:tc>
              <w:tc>
                <w:tcPr>
                  <w:tcW w:w="1129" w:type="dxa"/>
                  <w:noWrap w:val="0"/>
                  <w:vAlign w:val="center"/>
                </w:tcPr>
                <w:p w14:paraId="24161156">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半水基清洗剂</w:t>
                  </w:r>
                </w:p>
              </w:tc>
              <w:tc>
                <w:tcPr>
                  <w:tcW w:w="1181" w:type="dxa"/>
                  <w:noWrap w:val="0"/>
                  <w:vAlign w:val="center"/>
                </w:tcPr>
                <w:p w14:paraId="381EFA7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83</w:t>
                  </w:r>
                  <w:r>
                    <w:rPr>
                      <w:rFonts w:hint="default" w:ascii="Times New Roman" w:hAnsi="Times New Roman" w:eastAsia="宋体" w:cs="Times New Roman"/>
                      <w:b w:val="0"/>
                      <w:bCs w:val="0"/>
                      <w:color w:val="auto"/>
                      <w:sz w:val="21"/>
                      <w:szCs w:val="21"/>
                      <w:highlight w:val="none"/>
                      <w:vertAlign w:val="baseline"/>
                      <w:lang w:val="en-US" w:eastAsia="zh-CN"/>
                    </w:rPr>
                    <w:t>g/L</w:t>
                  </w:r>
                </w:p>
              </w:tc>
              <w:tc>
                <w:tcPr>
                  <w:tcW w:w="1125" w:type="dxa"/>
                  <w:noWrap w:val="0"/>
                  <w:vAlign w:val="center"/>
                </w:tcPr>
                <w:p w14:paraId="7C8B112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符合</w:t>
                  </w:r>
                </w:p>
              </w:tc>
              <w:tc>
                <w:tcPr>
                  <w:tcW w:w="3080" w:type="dxa"/>
                  <w:vMerge w:val="restart"/>
                  <w:noWrap w:val="0"/>
                  <w:vAlign w:val="top"/>
                </w:tcPr>
                <w:p w14:paraId="2C86842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《清洗剂挥发性有机化合物含量限值》表2低VOC含量半水</w:t>
                  </w:r>
                  <w:r>
                    <w:rPr>
                      <w:rFonts w:hint="default" w:ascii="Times New Roman" w:hAnsi="Times New Roman" w:eastAsia="宋体" w:cs="Times New Roman"/>
                      <w:b w:val="0"/>
                      <w:bCs w:val="0"/>
                      <w:color w:val="auto"/>
                      <w:sz w:val="21"/>
                      <w:szCs w:val="21"/>
                      <w:highlight w:val="none"/>
                      <w:vertAlign w:val="baseline"/>
                      <w:lang w:val="en-US" w:eastAsia="zh-CN"/>
                    </w:rPr>
                    <w:t>基清洗剂限值要求VOC含量≤100g/L</w:t>
                  </w:r>
                </w:p>
              </w:tc>
            </w:tr>
            <w:tr w14:paraId="6C3E4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1357" w:type="dxa"/>
                  <w:noWrap w:val="0"/>
                  <w:vAlign w:val="center"/>
                </w:tcPr>
                <w:p w14:paraId="708B962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cs="Times New Roman"/>
                      <w:color w:val="auto"/>
                      <w:highlight w:val="none"/>
                      <w:lang w:val="en-US" w:eastAsia="zh-CN"/>
                    </w:rPr>
                  </w:pPr>
                  <w:r>
                    <w:rPr>
                      <w:rFonts w:hint="eastAsia" w:ascii="Times New Roman" w:eastAsia="宋体" w:cs="Times New Roman"/>
                      <w:b w:val="0"/>
                      <w:bCs w:val="0"/>
                      <w:color w:val="auto"/>
                      <w:sz w:val="21"/>
                      <w:szCs w:val="24"/>
                      <w:highlight w:val="none"/>
                      <w:lang w:val="en-US" w:eastAsia="zh-CN"/>
                    </w:rPr>
                    <w:t>润版液</w:t>
                  </w:r>
                </w:p>
              </w:tc>
              <w:tc>
                <w:tcPr>
                  <w:tcW w:w="1129" w:type="dxa"/>
                  <w:noWrap w:val="0"/>
                  <w:vAlign w:val="center"/>
                </w:tcPr>
                <w:p w14:paraId="401152A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清洗剂</w:t>
                  </w:r>
                </w:p>
              </w:tc>
              <w:tc>
                <w:tcPr>
                  <w:tcW w:w="1181" w:type="dxa"/>
                  <w:noWrap w:val="0"/>
                  <w:vAlign w:val="center"/>
                </w:tcPr>
                <w:p w14:paraId="2DF9F8F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26</w:t>
                  </w:r>
                  <w:r>
                    <w:rPr>
                      <w:rFonts w:hint="default" w:ascii="Times New Roman" w:hAnsi="Times New Roman" w:eastAsia="宋体" w:cs="Times New Roman"/>
                      <w:b w:val="0"/>
                      <w:bCs w:val="0"/>
                      <w:color w:val="auto"/>
                      <w:sz w:val="21"/>
                      <w:szCs w:val="21"/>
                      <w:highlight w:val="none"/>
                      <w:vertAlign w:val="baseline"/>
                      <w:lang w:val="en-US" w:eastAsia="zh-CN"/>
                    </w:rPr>
                    <w:t>g/L</w:t>
                  </w:r>
                </w:p>
              </w:tc>
              <w:tc>
                <w:tcPr>
                  <w:tcW w:w="1125" w:type="dxa"/>
                  <w:noWrap w:val="0"/>
                  <w:vAlign w:val="center"/>
                </w:tcPr>
                <w:p w14:paraId="4A8B6DE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cs="Times New Roman"/>
                      <w:color w:val="auto"/>
                      <w:highlight w:val="none"/>
                      <w:lang w:val="en-US" w:eastAsia="zh-CN"/>
                    </w:rPr>
                  </w:pPr>
                  <w:r>
                    <w:rPr>
                      <w:rFonts w:hint="eastAsia" w:ascii="宋体" w:hAnsi="宋体" w:eastAsia="宋体" w:cs="宋体"/>
                      <w:b w:val="0"/>
                      <w:bCs w:val="0"/>
                      <w:color w:val="auto"/>
                      <w:sz w:val="21"/>
                      <w:szCs w:val="21"/>
                      <w:highlight w:val="none"/>
                      <w:vertAlign w:val="baseline"/>
                      <w:lang w:val="en-US" w:eastAsia="zh-CN"/>
                    </w:rPr>
                    <w:t>符合</w:t>
                  </w:r>
                </w:p>
              </w:tc>
              <w:tc>
                <w:tcPr>
                  <w:tcW w:w="3080" w:type="dxa"/>
                  <w:vMerge w:val="continue"/>
                  <w:noWrap w:val="0"/>
                  <w:vAlign w:val="top"/>
                </w:tcPr>
                <w:p w14:paraId="11BAAD5B">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cs="Times New Roman"/>
                      <w:color w:val="auto"/>
                      <w:highlight w:val="none"/>
                      <w:lang w:val="en-US" w:eastAsia="zh-CN"/>
                    </w:rPr>
                  </w:pPr>
                </w:p>
              </w:tc>
            </w:tr>
            <w:tr w14:paraId="5A138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1357" w:type="dxa"/>
                  <w:noWrap w:val="0"/>
                  <w:vAlign w:val="center"/>
                </w:tcPr>
                <w:p w14:paraId="76E76FE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eastAsia="宋体" w:cs="Times New Roman"/>
                      <w:b w:val="0"/>
                      <w:bCs w:val="0"/>
                      <w:color w:val="auto"/>
                      <w:sz w:val="21"/>
                      <w:szCs w:val="24"/>
                      <w:highlight w:val="none"/>
                      <w:lang w:val="en-US" w:eastAsia="zh-CN"/>
                    </w:rPr>
                  </w:pPr>
                  <w:r>
                    <w:rPr>
                      <w:rFonts w:hint="default" w:ascii="Times New Roman" w:eastAsia="宋体" w:cs="Times New Roman"/>
                      <w:b w:val="0"/>
                      <w:bCs w:val="0"/>
                      <w:color w:val="auto"/>
                      <w:sz w:val="21"/>
                      <w:szCs w:val="24"/>
                      <w:highlight w:val="none"/>
                      <w:lang w:val="en-US" w:eastAsia="zh-CN"/>
                    </w:rPr>
                    <w:t>过油剂</w:t>
                  </w:r>
                  <w:r>
                    <w:rPr>
                      <w:rFonts w:hint="eastAsia" w:ascii="Times New Roman" w:eastAsia="宋体" w:cs="Times New Roman"/>
                      <w:b w:val="0"/>
                      <w:bCs w:val="0"/>
                      <w:color w:val="auto"/>
                      <w:sz w:val="21"/>
                      <w:szCs w:val="24"/>
                      <w:highlight w:val="none"/>
                      <w:lang w:val="en-US" w:eastAsia="zh-CN"/>
                    </w:rPr>
                    <w:t>（光油与天那水混合物）</w:t>
                  </w:r>
                </w:p>
              </w:tc>
              <w:tc>
                <w:tcPr>
                  <w:tcW w:w="1129" w:type="dxa"/>
                  <w:noWrap w:val="0"/>
                  <w:vAlign w:val="center"/>
                </w:tcPr>
                <w:p w14:paraId="075E08C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eastAsia="宋体" w:cs="Times New Roman"/>
                      <w:b w:val="0"/>
                      <w:bCs w:val="0"/>
                      <w:color w:val="auto"/>
                      <w:sz w:val="21"/>
                      <w:szCs w:val="24"/>
                      <w:highlight w:val="none"/>
                      <w:lang w:val="en-US" w:eastAsia="zh-CN"/>
                    </w:rPr>
                  </w:pPr>
                  <w:r>
                    <w:rPr>
                      <w:rFonts w:hint="eastAsia" w:ascii="Times New Roman" w:eastAsia="宋体" w:cs="Times New Roman"/>
                      <w:b w:val="0"/>
                      <w:bCs w:val="0"/>
                      <w:color w:val="auto"/>
                      <w:sz w:val="21"/>
                      <w:szCs w:val="24"/>
                      <w:highlight w:val="none"/>
                      <w:lang w:val="en-US" w:eastAsia="zh-CN"/>
                    </w:rPr>
                    <w:t>过油</w:t>
                  </w:r>
                </w:p>
              </w:tc>
              <w:tc>
                <w:tcPr>
                  <w:tcW w:w="1181" w:type="dxa"/>
                  <w:noWrap w:val="0"/>
                  <w:vAlign w:val="center"/>
                </w:tcPr>
                <w:p w14:paraId="1693C08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cs="Times New Roman"/>
                      <w:color w:val="auto"/>
                      <w:highlight w:val="none"/>
                      <w:lang w:val="en-US" w:eastAsia="zh-CN"/>
                    </w:rPr>
                  </w:pPr>
                  <w:r>
                    <w:rPr>
                      <w:rFonts w:hint="eastAsia" w:cs="Times New Roman"/>
                      <w:color w:val="auto"/>
                      <w:highlight w:val="none"/>
                      <w:lang w:val="en-US" w:eastAsia="zh-CN"/>
                    </w:rPr>
                    <w:t xml:space="preserve"> 332.5</w:t>
                  </w:r>
                  <w:r>
                    <w:rPr>
                      <w:rFonts w:hint="default" w:ascii="Times New Roman" w:hAnsi="Times New Roman" w:eastAsia="宋体" w:cs="Times New Roman"/>
                      <w:b w:val="0"/>
                      <w:bCs w:val="0"/>
                      <w:color w:val="auto"/>
                      <w:sz w:val="21"/>
                      <w:szCs w:val="21"/>
                      <w:highlight w:val="none"/>
                      <w:vertAlign w:val="baseline"/>
                      <w:lang w:val="en-US" w:eastAsia="zh-CN"/>
                    </w:rPr>
                    <w:t>g/L</w:t>
                  </w:r>
                </w:p>
              </w:tc>
              <w:tc>
                <w:tcPr>
                  <w:tcW w:w="1125" w:type="dxa"/>
                  <w:noWrap w:val="0"/>
                  <w:vAlign w:val="center"/>
                </w:tcPr>
                <w:p w14:paraId="7027B6C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符合</w:t>
                  </w:r>
                </w:p>
              </w:tc>
              <w:tc>
                <w:tcPr>
                  <w:tcW w:w="3080" w:type="dxa"/>
                  <w:noWrap w:val="0"/>
                  <w:vAlign w:val="top"/>
                </w:tcPr>
                <w:p w14:paraId="27F33E24">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《低挥发性有机化合物含量涂料产品技术要求》（GB/T38597-2020）表2溶剂型涂料中机械设备涂料双组份要求VOC≤420g/L</w:t>
                  </w:r>
                </w:p>
              </w:tc>
            </w:tr>
          </w:tbl>
          <w:p w14:paraId="0E77339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right="0" w:firstLine="42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因此，项目所用的油墨、胶粘剂、清洗剂属于低VOCs物料</w:t>
            </w:r>
            <w:r>
              <w:rPr>
                <w:rFonts w:hint="default" w:ascii="Times New Roman" w:hAnsi="Times New Roman" w:eastAsia="宋体" w:cs="Times New Roman"/>
                <w:b w:val="0"/>
                <w:bCs w:val="0"/>
                <w:color w:val="auto"/>
                <w:sz w:val="24"/>
                <w:szCs w:val="24"/>
                <w:highlight w:val="none"/>
                <w:lang w:val="en-US" w:eastAsia="zh-CN"/>
              </w:rPr>
              <w:t>。</w:t>
            </w:r>
          </w:p>
          <w:p w14:paraId="2EEBD43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360" w:lineRule="auto"/>
              <w:ind w:left="420" w:leftChars="200" w:right="0" w:firstLine="241" w:firstLineChars="100"/>
              <w:textAlignment w:val="auto"/>
              <w:rPr>
                <w:rFonts w:hint="eastAsia" w:ascii="Times New Roman" w:hAnsi="Times New Roman" w:eastAsia="宋体" w:cs="Times New Roman"/>
                <w:b/>
                <w:bCs/>
                <w:color w:val="auto"/>
                <w:sz w:val="24"/>
                <w:szCs w:val="32"/>
                <w:highlight w:val="none"/>
                <w:lang w:val="en-US" w:eastAsia="zh-CN"/>
              </w:rPr>
            </w:pPr>
            <w:r>
              <w:rPr>
                <w:rFonts w:hint="eastAsia" w:ascii="Times New Roman" w:hAnsi="Times New Roman" w:eastAsia="宋体" w:cs="Times New Roman"/>
                <w:b/>
                <w:bCs/>
                <w:color w:val="auto"/>
                <w:sz w:val="24"/>
                <w:szCs w:val="32"/>
                <w:highlight w:val="none"/>
                <w:lang w:val="en-US" w:eastAsia="zh-CN"/>
              </w:rPr>
              <w:t>4、主要生产设备</w:t>
            </w:r>
          </w:p>
          <w:p w14:paraId="534D9103">
            <w:pPr>
              <w:pStyle w:val="80"/>
              <w:keepNext w:val="0"/>
              <w:keepLines w:val="0"/>
              <w:suppressLineNumbers w:val="0"/>
              <w:spacing w:before="0" w:beforeAutospacing="0" w:after="0" w:afterAutospacing="0"/>
              <w:ind w:left="0" w:right="0"/>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表</w:t>
            </w:r>
            <w:r>
              <w:rPr>
                <w:rFonts w:hint="eastAsia" w:ascii="Times New Roman" w:cs="Times New Roman"/>
                <w:b/>
                <w:bCs/>
                <w:color w:val="auto"/>
                <w:highlight w:val="none"/>
                <w:lang w:val="en-US" w:eastAsia="zh-CN"/>
              </w:rPr>
              <w:t xml:space="preserve">2-10 </w:t>
            </w:r>
            <w:r>
              <w:rPr>
                <w:rFonts w:hint="default" w:ascii="Times New Roman" w:hAnsi="Times New Roman" w:eastAsia="宋体" w:cs="Times New Roman"/>
                <w:b/>
                <w:bCs/>
                <w:color w:val="auto"/>
                <w:highlight w:val="none"/>
              </w:rPr>
              <w:t>项目主要</w:t>
            </w:r>
            <w:r>
              <w:rPr>
                <w:rFonts w:hint="default" w:ascii="Times New Roman" w:hAnsi="Times New Roman" w:eastAsia="宋体" w:cs="Times New Roman"/>
                <w:b/>
                <w:bCs/>
                <w:color w:val="auto"/>
                <w:highlight w:val="none"/>
                <w:lang w:val="en-US" w:eastAsia="zh-CN"/>
              </w:rPr>
              <w:t>生产</w:t>
            </w:r>
            <w:r>
              <w:rPr>
                <w:rFonts w:hint="default" w:ascii="Times New Roman" w:hAnsi="Times New Roman" w:eastAsia="宋体" w:cs="Times New Roman"/>
                <w:b/>
                <w:bCs/>
                <w:color w:val="auto"/>
                <w:highlight w:val="none"/>
              </w:rPr>
              <w:t>设备表</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9"/>
              <w:gridCol w:w="2116"/>
              <w:gridCol w:w="1587"/>
              <w:gridCol w:w="2032"/>
            </w:tblGrid>
            <w:tr w14:paraId="7E8D7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9" w:type="dxa"/>
                  <w:noWrap w:val="0"/>
                  <w:vAlign w:val="center"/>
                </w:tcPr>
                <w:p w14:paraId="4FF8AA8A">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序号</w:t>
                  </w:r>
                </w:p>
              </w:tc>
              <w:tc>
                <w:tcPr>
                  <w:tcW w:w="2116" w:type="dxa"/>
                  <w:noWrap w:val="0"/>
                  <w:vAlign w:val="center"/>
                </w:tcPr>
                <w:p w14:paraId="3399FCC7">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设备名称</w:t>
                  </w:r>
                </w:p>
              </w:tc>
              <w:tc>
                <w:tcPr>
                  <w:tcW w:w="1587" w:type="dxa"/>
                  <w:noWrap w:val="0"/>
                  <w:vAlign w:val="center"/>
                </w:tcPr>
                <w:p w14:paraId="16DD75B7">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数量（台）</w:t>
                  </w:r>
                </w:p>
              </w:tc>
              <w:tc>
                <w:tcPr>
                  <w:tcW w:w="2032" w:type="dxa"/>
                  <w:noWrap w:val="0"/>
                  <w:vAlign w:val="center"/>
                </w:tcPr>
                <w:p w14:paraId="48185092">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使用工序</w:t>
                  </w:r>
                </w:p>
              </w:tc>
            </w:tr>
            <w:tr w14:paraId="36EEC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9" w:type="dxa"/>
                  <w:noWrap w:val="0"/>
                  <w:vAlign w:val="center"/>
                </w:tcPr>
                <w:p w14:paraId="21FE4311">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w:t>
                  </w:r>
                </w:p>
              </w:tc>
              <w:tc>
                <w:tcPr>
                  <w:tcW w:w="2116" w:type="dxa"/>
                  <w:noWrap w:val="0"/>
                  <w:vAlign w:val="center"/>
                </w:tcPr>
                <w:p w14:paraId="4E7CB73B">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四色胶印机</w:t>
                  </w:r>
                </w:p>
              </w:tc>
              <w:tc>
                <w:tcPr>
                  <w:tcW w:w="1587" w:type="dxa"/>
                  <w:noWrap w:val="0"/>
                  <w:vAlign w:val="center"/>
                </w:tcPr>
                <w:p w14:paraId="74A8298E">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val="en-US" w:eastAsia="zh-CN"/>
                    </w:rPr>
                    <w:t>1</w:t>
                  </w:r>
                </w:p>
              </w:tc>
              <w:tc>
                <w:tcPr>
                  <w:tcW w:w="2032" w:type="dxa"/>
                  <w:vMerge w:val="restart"/>
                  <w:noWrap w:val="0"/>
                  <w:vAlign w:val="center"/>
                </w:tcPr>
                <w:p w14:paraId="0DA882BF">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eastAsia="zh-CN"/>
                    </w:rPr>
                  </w:pPr>
                  <w:r>
                    <w:rPr>
                      <w:rFonts w:hint="eastAsia" w:ascii="Times New Roman" w:cs="Times New Roman"/>
                      <w:color w:val="auto"/>
                      <w:highlight w:val="none"/>
                      <w:lang w:val="en-US" w:eastAsia="zh-CN"/>
                    </w:rPr>
                    <w:t>纸卡和彩盒</w:t>
                  </w:r>
                  <w:r>
                    <w:rPr>
                      <w:rFonts w:hint="default" w:ascii="Times New Roman" w:hAnsi="Times New Roman" w:eastAsia="宋体" w:cs="Times New Roman"/>
                      <w:color w:val="auto"/>
                      <w:highlight w:val="none"/>
                      <w:lang w:val="en-US" w:eastAsia="zh-CN"/>
                    </w:rPr>
                    <w:t>印刷</w:t>
                  </w:r>
                </w:p>
              </w:tc>
            </w:tr>
            <w:tr w14:paraId="70BD6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9" w:type="dxa"/>
                  <w:noWrap w:val="0"/>
                  <w:vAlign w:val="center"/>
                </w:tcPr>
                <w:p w14:paraId="671127CA">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w:t>
                  </w:r>
                </w:p>
              </w:tc>
              <w:tc>
                <w:tcPr>
                  <w:tcW w:w="2116" w:type="dxa"/>
                  <w:shd w:val="clear" w:color="auto" w:fill="auto"/>
                  <w:noWrap w:val="0"/>
                  <w:vAlign w:val="center"/>
                </w:tcPr>
                <w:p w14:paraId="6E7F1768">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highlight w:val="none"/>
                      <w:lang w:val="en-US" w:eastAsia="zh-CN"/>
                    </w:rPr>
                    <w:t>六色胶印机</w:t>
                  </w:r>
                </w:p>
              </w:tc>
              <w:tc>
                <w:tcPr>
                  <w:tcW w:w="1587" w:type="dxa"/>
                  <w:shd w:val="clear" w:color="auto" w:fill="auto"/>
                  <w:noWrap w:val="0"/>
                  <w:vAlign w:val="center"/>
                </w:tcPr>
                <w:p w14:paraId="460DECCA">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highlight w:val="none"/>
                      <w:lang w:val="en-US" w:eastAsia="zh-CN"/>
                    </w:rPr>
                    <w:t>1</w:t>
                  </w:r>
                </w:p>
              </w:tc>
              <w:tc>
                <w:tcPr>
                  <w:tcW w:w="2032" w:type="dxa"/>
                  <w:vMerge w:val="continue"/>
                  <w:noWrap w:val="0"/>
                  <w:vAlign w:val="center"/>
                </w:tcPr>
                <w:p w14:paraId="701F0139">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rPr>
                  </w:pPr>
                </w:p>
              </w:tc>
            </w:tr>
            <w:tr w14:paraId="061BB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9" w:type="dxa"/>
                  <w:noWrap w:val="0"/>
                  <w:vAlign w:val="center"/>
                </w:tcPr>
                <w:p w14:paraId="5DA2283B">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w:t>
                  </w:r>
                </w:p>
              </w:tc>
              <w:tc>
                <w:tcPr>
                  <w:tcW w:w="2116" w:type="dxa"/>
                  <w:noWrap w:val="0"/>
                  <w:vAlign w:val="center"/>
                </w:tcPr>
                <w:p w14:paraId="7C93E58D">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砍纸机</w:t>
                  </w:r>
                </w:p>
              </w:tc>
              <w:tc>
                <w:tcPr>
                  <w:tcW w:w="1587" w:type="dxa"/>
                  <w:noWrap w:val="0"/>
                  <w:vAlign w:val="center"/>
                </w:tcPr>
                <w:p w14:paraId="1BC227F5">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val="en-US" w:eastAsia="zh-CN"/>
                    </w:rPr>
                    <w:t>1</w:t>
                  </w:r>
                </w:p>
              </w:tc>
              <w:tc>
                <w:tcPr>
                  <w:tcW w:w="2032" w:type="dxa"/>
                  <w:vMerge w:val="restart"/>
                  <w:noWrap w:val="0"/>
                  <w:vAlign w:val="center"/>
                </w:tcPr>
                <w:p w14:paraId="407C5E05">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开料</w:t>
                  </w:r>
                </w:p>
              </w:tc>
            </w:tr>
            <w:tr w14:paraId="77F4B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9" w:type="dxa"/>
                  <w:shd w:val="clear" w:color="auto" w:fill="auto"/>
                  <w:noWrap w:val="0"/>
                  <w:vAlign w:val="center"/>
                </w:tcPr>
                <w:p w14:paraId="5C366AFB">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highlight w:val="none"/>
                    </w:rPr>
                    <w:t>4</w:t>
                  </w:r>
                </w:p>
              </w:tc>
              <w:tc>
                <w:tcPr>
                  <w:tcW w:w="2116" w:type="dxa"/>
                  <w:shd w:val="clear" w:color="auto" w:fill="auto"/>
                  <w:noWrap w:val="0"/>
                  <w:vAlign w:val="center"/>
                </w:tcPr>
                <w:p w14:paraId="1D7F8A83">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kern w:val="0"/>
                      <w:sz w:val="21"/>
                      <w:szCs w:val="24"/>
                      <w:highlight w:val="none"/>
                      <w:lang w:val="en-US" w:eastAsia="zh-CN" w:bidi="ar-SA"/>
                    </w:rPr>
                    <w:t>自动贴角机</w:t>
                  </w:r>
                </w:p>
              </w:tc>
              <w:tc>
                <w:tcPr>
                  <w:tcW w:w="1587" w:type="dxa"/>
                  <w:shd w:val="clear" w:color="auto" w:fill="auto"/>
                  <w:noWrap w:val="0"/>
                  <w:vAlign w:val="center"/>
                </w:tcPr>
                <w:p w14:paraId="31CDE060">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highlight w:val="none"/>
                      <w:lang w:val="en-US" w:eastAsia="zh-CN"/>
                    </w:rPr>
                    <w:t>1</w:t>
                  </w:r>
                </w:p>
              </w:tc>
              <w:tc>
                <w:tcPr>
                  <w:tcW w:w="2032" w:type="dxa"/>
                  <w:vMerge w:val="continue"/>
                  <w:noWrap w:val="0"/>
                  <w:vAlign w:val="center"/>
                </w:tcPr>
                <w:p w14:paraId="43F43B6F">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p>
              </w:tc>
            </w:tr>
            <w:tr w14:paraId="73A9E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9" w:type="dxa"/>
                  <w:shd w:val="clear" w:color="auto" w:fill="auto"/>
                  <w:noWrap w:val="0"/>
                  <w:vAlign w:val="center"/>
                </w:tcPr>
                <w:p w14:paraId="2AC927D1">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highlight w:val="none"/>
                      <w:lang w:val="en-US" w:eastAsia="zh-CN"/>
                    </w:rPr>
                    <w:t>5</w:t>
                  </w:r>
                </w:p>
              </w:tc>
              <w:tc>
                <w:tcPr>
                  <w:tcW w:w="2116" w:type="dxa"/>
                  <w:shd w:val="clear" w:color="auto" w:fill="auto"/>
                  <w:noWrap w:val="0"/>
                  <w:vAlign w:val="center"/>
                </w:tcPr>
                <w:p w14:paraId="7C17870A">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kern w:val="0"/>
                      <w:sz w:val="21"/>
                      <w:szCs w:val="24"/>
                      <w:highlight w:val="none"/>
                      <w:lang w:val="en-US" w:eastAsia="zh-CN" w:bidi="ar-SA"/>
                    </w:rPr>
                    <w:t>自动成型机</w:t>
                  </w:r>
                </w:p>
              </w:tc>
              <w:tc>
                <w:tcPr>
                  <w:tcW w:w="1587" w:type="dxa"/>
                  <w:shd w:val="clear" w:color="auto" w:fill="auto"/>
                  <w:noWrap w:val="0"/>
                  <w:vAlign w:val="center"/>
                </w:tcPr>
                <w:p w14:paraId="3CA60F5D">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highlight w:val="none"/>
                      <w:lang w:val="en-US" w:eastAsia="zh-CN"/>
                    </w:rPr>
                    <w:t>1</w:t>
                  </w:r>
                </w:p>
              </w:tc>
              <w:tc>
                <w:tcPr>
                  <w:tcW w:w="2032" w:type="dxa"/>
                  <w:vMerge w:val="continue"/>
                  <w:noWrap w:val="0"/>
                  <w:vAlign w:val="center"/>
                </w:tcPr>
                <w:p w14:paraId="73A52339">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p>
              </w:tc>
            </w:tr>
            <w:tr w14:paraId="0115A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9" w:type="dxa"/>
                  <w:shd w:val="clear" w:color="auto" w:fill="auto"/>
                  <w:noWrap w:val="0"/>
                  <w:vAlign w:val="center"/>
                </w:tcPr>
                <w:p w14:paraId="6B2002F3">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highlight w:val="none"/>
                      <w:lang w:val="en-US" w:eastAsia="zh-CN"/>
                    </w:rPr>
                    <w:t>6</w:t>
                  </w:r>
                </w:p>
              </w:tc>
              <w:tc>
                <w:tcPr>
                  <w:tcW w:w="2116" w:type="dxa"/>
                  <w:noWrap w:val="0"/>
                  <w:vAlign w:val="center"/>
                </w:tcPr>
                <w:p w14:paraId="292CC79A">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val="en-US" w:eastAsia="zh-CN"/>
                    </w:rPr>
                    <w:t>过油机</w:t>
                  </w:r>
                </w:p>
              </w:tc>
              <w:tc>
                <w:tcPr>
                  <w:tcW w:w="1587" w:type="dxa"/>
                  <w:noWrap w:val="0"/>
                  <w:vAlign w:val="center"/>
                </w:tcPr>
                <w:p w14:paraId="4FA2358E">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eastAsia="zh-CN"/>
                    </w:rPr>
                  </w:pPr>
                  <w:r>
                    <w:rPr>
                      <w:rFonts w:hint="eastAsia" w:ascii="Times New Roman" w:cs="Times New Roman"/>
                      <w:color w:val="auto"/>
                      <w:highlight w:val="none"/>
                      <w:lang w:val="en-US" w:eastAsia="zh-CN"/>
                    </w:rPr>
                    <w:t>1</w:t>
                  </w:r>
                </w:p>
              </w:tc>
              <w:tc>
                <w:tcPr>
                  <w:tcW w:w="2032" w:type="dxa"/>
                  <w:noWrap w:val="0"/>
                  <w:vAlign w:val="center"/>
                </w:tcPr>
                <w:p w14:paraId="552A6E1A">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过油</w:t>
                  </w:r>
                </w:p>
              </w:tc>
            </w:tr>
            <w:tr w14:paraId="4C481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9" w:type="dxa"/>
                  <w:shd w:val="clear" w:color="auto" w:fill="auto"/>
                  <w:noWrap w:val="0"/>
                  <w:vAlign w:val="center"/>
                </w:tcPr>
                <w:p w14:paraId="1DA7D4EF">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highlight w:val="none"/>
                      <w:lang w:val="en-US" w:eastAsia="zh-CN"/>
                    </w:rPr>
                    <w:t>7</w:t>
                  </w:r>
                </w:p>
              </w:tc>
              <w:tc>
                <w:tcPr>
                  <w:tcW w:w="2116" w:type="dxa"/>
                  <w:noWrap w:val="0"/>
                  <w:vAlign w:val="center"/>
                </w:tcPr>
                <w:p w14:paraId="51636371">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自动糊盒机</w:t>
                  </w:r>
                </w:p>
              </w:tc>
              <w:tc>
                <w:tcPr>
                  <w:tcW w:w="1587" w:type="dxa"/>
                  <w:noWrap w:val="0"/>
                  <w:vAlign w:val="center"/>
                </w:tcPr>
                <w:p w14:paraId="591559F7">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eastAsia" w:ascii="Times New Roman" w:cs="Times New Roman"/>
                      <w:color w:val="auto"/>
                      <w:highlight w:val="none"/>
                      <w:lang w:val="en-US" w:eastAsia="zh-CN"/>
                    </w:rPr>
                    <w:t>1</w:t>
                  </w:r>
                </w:p>
              </w:tc>
              <w:tc>
                <w:tcPr>
                  <w:tcW w:w="2032" w:type="dxa"/>
                  <w:noWrap w:val="0"/>
                  <w:vAlign w:val="center"/>
                </w:tcPr>
                <w:p w14:paraId="4EB9D332">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粘盒</w:t>
                  </w:r>
                </w:p>
              </w:tc>
            </w:tr>
            <w:tr w14:paraId="18610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9" w:type="dxa"/>
                  <w:shd w:val="clear" w:color="auto" w:fill="auto"/>
                  <w:noWrap w:val="0"/>
                  <w:vAlign w:val="center"/>
                </w:tcPr>
                <w:p w14:paraId="6B2A7554">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highlight w:val="none"/>
                      <w:lang w:val="en-US" w:eastAsia="zh-CN"/>
                    </w:rPr>
                    <w:t>8</w:t>
                  </w:r>
                </w:p>
              </w:tc>
              <w:tc>
                <w:tcPr>
                  <w:tcW w:w="2116" w:type="dxa"/>
                  <w:noWrap w:val="0"/>
                  <w:vAlign w:val="center"/>
                </w:tcPr>
                <w:p w14:paraId="6AB0DF9D">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自动啤机</w:t>
                  </w:r>
                </w:p>
              </w:tc>
              <w:tc>
                <w:tcPr>
                  <w:tcW w:w="1587" w:type="dxa"/>
                  <w:noWrap w:val="0"/>
                  <w:vAlign w:val="center"/>
                </w:tcPr>
                <w:p w14:paraId="527F5FEA">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eastAsia" w:ascii="Times New Roman" w:cs="Times New Roman"/>
                      <w:color w:val="auto"/>
                      <w:highlight w:val="none"/>
                      <w:lang w:val="en-US" w:eastAsia="zh-CN"/>
                    </w:rPr>
                    <w:t>1</w:t>
                  </w:r>
                </w:p>
              </w:tc>
              <w:tc>
                <w:tcPr>
                  <w:tcW w:w="2032" w:type="dxa"/>
                  <w:vMerge w:val="restart"/>
                  <w:noWrap w:val="0"/>
                  <w:vAlign w:val="center"/>
                </w:tcPr>
                <w:p w14:paraId="4567F787">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模切</w:t>
                  </w:r>
                </w:p>
              </w:tc>
            </w:tr>
            <w:tr w14:paraId="47D69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9" w:type="dxa"/>
                  <w:shd w:val="clear" w:color="auto" w:fill="auto"/>
                  <w:noWrap w:val="0"/>
                  <w:vAlign w:val="center"/>
                </w:tcPr>
                <w:p w14:paraId="5C881368">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highlight w:val="none"/>
                      <w:lang w:val="en-US" w:eastAsia="zh-CN"/>
                    </w:rPr>
                    <w:t>9</w:t>
                  </w:r>
                </w:p>
              </w:tc>
              <w:tc>
                <w:tcPr>
                  <w:tcW w:w="2116" w:type="dxa"/>
                  <w:noWrap w:val="0"/>
                  <w:vAlign w:val="center"/>
                </w:tcPr>
                <w:p w14:paraId="647D9163">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手动啤机</w:t>
                  </w:r>
                </w:p>
              </w:tc>
              <w:tc>
                <w:tcPr>
                  <w:tcW w:w="1587" w:type="dxa"/>
                  <w:noWrap w:val="0"/>
                  <w:vAlign w:val="center"/>
                </w:tcPr>
                <w:p w14:paraId="4227A770">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w:t>
                  </w:r>
                </w:p>
              </w:tc>
              <w:tc>
                <w:tcPr>
                  <w:tcW w:w="2032" w:type="dxa"/>
                  <w:vMerge w:val="continue"/>
                  <w:noWrap w:val="0"/>
                  <w:vAlign w:val="center"/>
                </w:tcPr>
                <w:p w14:paraId="611FF8F5">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p>
              </w:tc>
            </w:tr>
            <w:tr w14:paraId="6B38C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9" w:type="dxa"/>
                  <w:shd w:val="clear" w:color="auto" w:fill="auto"/>
                  <w:noWrap w:val="0"/>
                  <w:vAlign w:val="center"/>
                </w:tcPr>
                <w:p w14:paraId="57593013">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highlight w:val="none"/>
                      <w:lang w:val="en-US" w:eastAsia="zh-CN"/>
                    </w:rPr>
                    <w:t>10</w:t>
                  </w:r>
                </w:p>
              </w:tc>
              <w:tc>
                <w:tcPr>
                  <w:tcW w:w="2116" w:type="dxa"/>
                  <w:noWrap w:val="0"/>
                  <w:vAlign w:val="center"/>
                </w:tcPr>
                <w:p w14:paraId="1E3B581D">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模切机</w:t>
                  </w:r>
                </w:p>
              </w:tc>
              <w:tc>
                <w:tcPr>
                  <w:tcW w:w="1587" w:type="dxa"/>
                  <w:noWrap w:val="0"/>
                  <w:vAlign w:val="center"/>
                </w:tcPr>
                <w:p w14:paraId="79D202AB">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eastAsia" w:ascii="Times New Roman" w:cs="Times New Roman"/>
                      <w:color w:val="auto"/>
                      <w:highlight w:val="none"/>
                      <w:lang w:val="en-US" w:eastAsia="zh-CN"/>
                    </w:rPr>
                    <w:t>1</w:t>
                  </w:r>
                </w:p>
              </w:tc>
              <w:tc>
                <w:tcPr>
                  <w:tcW w:w="2032" w:type="dxa"/>
                  <w:vMerge w:val="continue"/>
                  <w:noWrap w:val="0"/>
                  <w:vAlign w:val="center"/>
                </w:tcPr>
                <w:p w14:paraId="10D1A1AF">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p>
              </w:tc>
            </w:tr>
            <w:tr w14:paraId="2EA17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39" w:type="dxa"/>
                  <w:shd w:val="clear" w:color="auto" w:fill="auto"/>
                  <w:noWrap w:val="0"/>
                  <w:vAlign w:val="center"/>
                </w:tcPr>
                <w:p w14:paraId="22B1BB91">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highlight w:val="none"/>
                      <w:lang w:val="en-US" w:eastAsia="zh-CN"/>
                    </w:rPr>
                    <w:t>11</w:t>
                  </w:r>
                </w:p>
              </w:tc>
              <w:tc>
                <w:tcPr>
                  <w:tcW w:w="2116" w:type="dxa"/>
                  <w:noWrap w:val="0"/>
                  <w:vAlign w:val="center"/>
                </w:tcPr>
                <w:p w14:paraId="2FD55516">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裱卡机</w:t>
                  </w:r>
                </w:p>
              </w:tc>
              <w:tc>
                <w:tcPr>
                  <w:tcW w:w="1587" w:type="dxa"/>
                  <w:noWrap w:val="0"/>
                  <w:vAlign w:val="center"/>
                </w:tcPr>
                <w:p w14:paraId="3C565747">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eastAsia" w:ascii="Times New Roman" w:cs="Times New Roman"/>
                      <w:color w:val="auto"/>
                      <w:highlight w:val="none"/>
                      <w:lang w:val="en-US" w:eastAsia="zh-CN"/>
                    </w:rPr>
                    <w:t>1</w:t>
                  </w:r>
                </w:p>
              </w:tc>
              <w:tc>
                <w:tcPr>
                  <w:tcW w:w="2032" w:type="dxa"/>
                  <w:vMerge w:val="restart"/>
                  <w:noWrap w:val="0"/>
                  <w:vAlign w:val="center"/>
                </w:tcPr>
                <w:p w14:paraId="7FBD7901">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裱纸</w:t>
                  </w:r>
                </w:p>
              </w:tc>
            </w:tr>
            <w:tr w14:paraId="3B153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9" w:type="dxa"/>
                  <w:shd w:val="clear" w:color="auto" w:fill="auto"/>
                  <w:noWrap w:val="0"/>
                  <w:vAlign w:val="center"/>
                </w:tcPr>
                <w:p w14:paraId="6C992C64">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highlight w:val="none"/>
                      <w:lang w:val="en-US" w:eastAsia="zh-CN"/>
                    </w:rPr>
                    <w:t>12</w:t>
                  </w:r>
                </w:p>
              </w:tc>
              <w:tc>
                <w:tcPr>
                  <w:tcW w:w="2116" w:type="dxa"/>
                  <w:noWrap w:val="0"/>
                  <w:vAlign w:val="center"/>
                </w:tcPr>
                <w:p w14:paraId="2D4F0195">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裱坑机</w:t>
                  </w:r>
                </w:p>
              </w:tc>
              <w:tc>
                <w:tcPr>
                  <w:tcW w:w="1587" w:type="dxa"/>
                  <w:noWrap w:val="0"/>
                  <w:vAlign w:val="center"/>
                </w:tcPr>
                <w:p w14:paraId="50CEC9A9">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eastAsia" w:ascii="Times New Roman" w:cs="Times New Roman"/>
                      <w:color w:val="auto"/>
                      <w:highlight w:val="none"/>
                      <w:lang w:val="en-US" w:eastAsia="zh-CN"/>
                    </w:rPr>
                    <w:t>1</w:t>
                  </w:r>
                </w:p>
              </w:tc>
              <w:tc>
                <w:tcPr>
                  <w:tcW w:w="2032" w:type="dxa"/>
                  <w:vMerge w:val="continue"/>
                  <w:noWrap w:val="0"/>
                  <w:vAlign w:val="center"/>
                </w:tcPr>
                <w:p w14:paraId="15BC176E">
                  <w:pPr>
                    <w:pStyle w:val="8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p>
              </w:tc>
            </w:tr>
            <w:tr w14:paraId="35289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9" w:type="dxa"/>
                  <w:shd w:val="clear" w:color="auto" w:fill="auto"/>
                  <w:noWrap w:val="0"/>
                  <w:vAlign w:val="center"/>
                </w:tcPr>
                <w:p w14:paraId="5C6AF4B8">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highlight w:val="none"/>
                      <w:lang w:val="en-US" w:eastAsia="zh-CN"/>
                    </w:rPr>
                    <w:t>13</w:t>
                  </w:r>
                </w:p>
              </w:tc>
              <w:tc>
                <w:tcPr>
                  <w:tcW w:w="2116" w:type="dxa"/>
                  <w:shd w:val="clear" w:color="auto" w:fill="auto"/>
                  <w:noWrap w:val="0"/>
                  <w:vAlign w:val="center"/>
                </w:tcPr>
                <w:p w14:paraId="4323124D">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highlight w:val="none"/>
                      <w:lang w:val="en-US" w:eastAsia="zh-CN"/>
                    </w:rPr>
                    <w:t>开槽机</w:t>
                  </w:r>
                </w:p>
              </w:tc>
              <w:tc>
                <w:tcPr>
                  <w:tcW w:w="1587" w:type="dxa"/>
                  <w:shd w:val="clear" w:color="auto" w:fill="auto"/>
                  <w:noWrap w:val="0"/>
                  <w:vAlign w:val="center"/>
                </w:tcPr>
                <w:p w14:paraId="1FFF51F9">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highlight w:val="none"/>
                      <w:lang w:val="en-US" w:eastAsia="zh-CN"/>
                    </w:rPr>
                    <w:t>1</w:t>
                  </w:r>
                </w:p>
              </w:tc>
              <w:tc>
                <w:tcPr>
                  <w:tcW w:w="2032" w:type="dxa"/>
                  <w:shd w:val="clear" w:color="auto" w:fill="auto"/>
                  <w:noWrap w:val="0"/>
                  <w:vAlign w:val="center"/>
                </w:tcPr>
                <w:p w14:paraId="4AA4A51B">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highlight w:val="none"/>
                      <w:lang w:val="en-US" w:eastAsia="zh-CN"/>
                    </w:rPr>
                    <w:t>开槽</w:t>
                  </w:r>
                </w:p>
              </w:tc>
            </w:tr>
            <w:tr w14:paraId="69110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9" w:type="dxa"/>
                  <w:shd w:val="clear" w:color="auto" w:fill="auto"/>
                  <w:noWrap w:val="0"/>
                  <w:vAlign w:val="center"/>
                </w:tcPr>
                <w:p w14:paraId="6764EEF6">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highlight w:val="none"/>
                      <w:lang w:val="en-US" w:eastAsia="zh-CN"/>
                    </w:rPr>
                    <w:t>14</w:t>
                  </w:r>
                </w:p>
              </w:tc>
              <w:tc>
                <w:tcPr>
                  <w:tcW w:w="2116" w:type="dxa"/>
                  <w:shd w:val="clear" w:color="auto" w:fill="auto"/>
                  <w:noWrap w:val="0"/>
                  <w:vAlign w:val="center"/>
                </w:tcPr>
                <w:p w14:paraId="41C91CBB">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highlight w:val="none"/>
                      <w:lang w:val="en-US" w:eastAsia="zh-CN"/>
                    </w:rPr>
                    <w:t>打包机</w:t>
                  </w:r>
                </w:p>
              </w:tc>
              <w:tc>
                <w:tcPr>
                  <w:tcW w:w="1587" w:type="dxa"/>
                  <w:shd w:val="clear" w:color="auto" w:fill="auto"/>
                  <w:noWrap w:val="0"/>
                  <w:vAlign w:val="center"/>
                </w:tcPr>
                <w:p w14:paraId="433C22A4">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highlight w:val="none"/>
                      <w:lang w:val="en-US" w:eastAsia="zh-CN"/>
                    </w:rPr>
                    <w:t>1</w:t>
                  </w:r>
                </w:p>
              </w:tc>
              <w:tc>
                <w:tcPr>
                  <w:tcW w:w="2032" w:type="dxa"/>
                  <w:shd w:val="clear" w:color="auto" w:fill="auto"/>
                  <w:noWrap w:val="0"/>
                  <w:vAlign w:val="center"/>
                </w:tcPr>
                <w:p w14:paraId="660F65D9">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highlight w:val="none"/>
                      <w:lang w:val="en-US" w:eastAsia="zh-CN"/>
                    </w:rPr>
                    <w:t>打包</w:t>
                  </w:r>
                </w:p>
              </w:tc>
            </w:tr>
          </w:tbl>
          <w:p w14:paraId="1B3C496E">
            <w:pPr>
              <w:keepNext w:val="0"/>
              <w:keepLines w:val="0"/>
              <w:pageBreakBefore w:val="0"/>
              <w:widowControl w:val="0"/>
              <w:numPr>
                <w:ilvl w:val="0"/>
                <w:numId w:val="4"/>
              </w:numPr>
              <w:suppressLineNumbers w:val="0"/>
              <w:kinsoku/>
              <w:wordWrap/>
              <w:overflowPunct/>
              <w:topLinePunct w:val="0"/>
              <w:autoSpaceDE/>
              <w:autoSpaceDN/>
              <w:bidi w:val="0"/>
              <w:adjustRightInd/>
              <w:snapToGrid/>
              <w:spacing w:before="157" w:beforeLines="50" w:beforeAutospacing="0" w:after="0" w:afterAutospacing="0" w:line="360" w:lineRule="auto"/>
              <w:ind w:left="420" w:leftChars="200" w:right="0"/>
              <w:textAlignment w:val="auto"/>
              <w:rPr>
                <w:rFonts w:hint="eastAsia" w:ascii="Times New Roman" w:hAnsi="Times New Roman" w:eastAsia="宋体" w:cs="Times New Roman"/>
                <w:b/>
                <w:bCs/>
                <w:color w:val="auto"/>
                <w:sz w:val="24"/>
                <w:szCs w:val="32"/>
                <w:highlight w:val="none"/>
                <w:lang w:val="en-US" w:eastAsia="zh-CN"/>
              </w:rPr>
            </w:pPr>
            <w:r>
              <w:rPr>
                <w:rFonts w:hint="eastAsia" w:ascii="Times New Roman" w:hAnsi="Times New Roman" w:eastAsia="宋体" w:cs="Times New Roman"/>
                <w:b/>
                <w:bCs/>
                <w:color w:val="auto"/>
                <w:sz w:val="24"/>
                <w:szCs w:val="32"/>
                <w:highlight w:val="none"/>
                <w:lang w:val="en-US" w:eastAsia="zh-CN"/>
              </w:rPr>
              <w:t>劳动定员及工作制度</w:t>
            </w:r>
          </w:p>
          <w:p w14:paraId="05FFB6F3">
            <w:pPr>
              <w:pStyle w:val="80"/>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工作制度：年工作300天，每天工作1班，每班工作8小时</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夜间不生产。</w:t>
            </w:r>
          </w:p>
          <w:p w14:paraId="216B856C">
            <w:pPr>
              <w:pStyle w:val="81"/>
              <w:pageBreakBefore w:val="0"/>
              <w:widowControl/>
              <w:suppressLineNumbers w:val="0"/>
              <w:kinsoku/>
              <w:wordWrap/>
              <w:overflowPunct/>
              <w:topLinePunct w:val="0"/>
              <w:autoSpaceDE/>
              <w:autoSpaceDN/>
              <w:bidi w:val="0"/>
              <w:snapToGrid/>
              <w:spacing w:beforeAutospacing="0" w:afterAutospacing="0" w:line="240" w:lineRule="auto"/>
              <w:ind w:left="0" w:leftChars="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劳动定员：本项目共有职工</w:t>
            </w:r>
            <w:r>
              <w:rPr>
                <w:rFonts w:hint="default" w:ascii="Times New Roman" w:hAnsi="Times New Roman" w:eastAsia="宋体" w:cs="Times New Roman"/>
                <w:color w:val="auto"/>
                <w:sz w:val="24"/>
                <w:highlight w:val="none"/>
                <w:lang w:val="en-US" w:eastAsia="zh-CN"/>
              </w:rPr>
              <w:t>20</w:t>
            </w:r>
            <w:r>
              <w:rPr>
                <w:rFonts w:hint="default" w:ascii="Times New Roman" w:hAnsi="Times New Roman" w:eastAsia="宋体" w:cs="Times New Roman"/>
                <w:color w:val="auto"/>
                <w:sz w:val="24"/>
                <w:highlight w:val="none"/>
              </w:rPr>
              <w:t>人，</w:t>
            </w:r>
            <w:r>
              <w:rPr>
                <w:rFonts w:hint="default" w:ascii="Times New Roman" w:hAnsi="Times New Roman" w:eastAsia="宋体" w:cs="Times New Roman"/>
                <w:color w:val="auto"/>
                <w:sz w:val="24"/>
                <w:highlight w:val="none"/>
                <w:lang w:val="en-US" w:eastAsia="zh-CN"/>
              </w:rPr>
              <w:t>均不在</w:t>
            </w:r>
            <w:r>
              <w:rPr>
                <w:rFonts w:hint="default" w:ascii="Times New Roman" w:hAnsi="Times New Roman" w:eastAsia="宋体" w:cs="Times New Roman"/>
                <w:color w:val="auto"/>
                <w:sz w:val="24"/>
                <w:highlight w:val="none"/>
              </w:rPr>
              <w:t>厂内食宿。</w:t>
            </w:r>
          </w:p>
          <w:p w14:paraId="704CCDB7">
            <w:pPr>
              <w:pStyle w:val="64"/>
              <w:keepNext w:val="0"/>
              <w:keepLines w:val="0"/>
              <w:pageBreakBefore w:val="0"/>
              <w:widowControl/>
              <w:suppressLineNumbers w:val="0"/>
              <w:kinsoku/>
              <w:wordWrap/>
              <w:overflowPunct/>
              <w:topLinePunct w:val="0"/>
              <w:autoSpaceDE/>
              <w:autoSpaceDN/>
              <w:bidi w:val="0"/>
              <w:snapToGrid/>
              <w:spacing w:beforeAutospacing="0" w:afterAutospacing="0" w:line="240" w:lineRule="auto"/>
              <w:ind w:left="0" w:right="0"/>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 xml:space="preserve">    </w:t>
            </w:r>
            <w:r>
              <w:rPr>
                <w:rFonts w:hint="eastAsia" w:ascii="Times New Roman" w:hAnsi="Times New Roman" w:eastAsia="宋体" w:cs="Times New Roman"/>
                <w:b/>
                <w:bCs/>
                <w:color w:val="auto"/>
                <w:kern w:val="2"/>
                <w:sz w:val="24"/>
                <w:szCs w:val="32"/>
                <w:highlight w:val="none"/>
                <w:lang w:val="en-US" w:eastAsia="zh-CN" w:bidi="ar-SA"/>
              </w:rPr>
              <w:t>6、给排水系统</w:t>
            </w:r>
          </w:p>
          <w:p w14:paraId="131D6FEF">
            <w:pPr>
              <w:pStyle w:val="80"/>
              <w:keepNext w:val="0"/>
              <w:keepLines w:val="0"/>
              <w:numPr>
                <w:ilvl w:val="0"/>
                <w:numId w:val="0"/>
              </w:numPr>
              <w:suppressLineNumbers w:val="0"/>
              <w:spacing w:before="0" w:beforeAutospacing="0" w:after="0" w:afterAutospacing="0" w:line="360" w:lineRule="auto"/>
              <w:ind w:left="0" w:right="0" w:firstLine="482" w:firstLineChars="200"/>
              <w:jc w:val="both"/>
              <w:rPr>
                <w:rFonts w:hint="default" w:ascii="Times New Roman" w:hAnsi="Times New Roman" w:eastAsia="宋体" w:cs="Times New Roman"/>
                <w:b/>
                <w:bCs/>
                <w:color w:val="auto"/>
                <w:sz w:val="24"/>
                <w:szCs w:val="32"/>
                <w:highlight w:val="none"/>
              </w:rPr>
            </w:pPr>
            <w:r>
              <w:rPr>
                <w:rFonts w:hint="eastAsia" w:ascii="Times New Roman" w:eastAsia="宋体" w:cs="Times New Roman"/>
                <w:b/>
                <w:bCs/>
                <w:color w:val="auto"/>
                <w:sz w:val="24"/>
                <w:szCs w:val="32"/>
                <w:highlight w:val="none"/>
                <w:lang w:val="en-US" w:eastAsia="zh-CN"/>
              </w:rPr>
              <w:t>（1）</w:t>
            </w:r>
            <w:r>
              <w:rPr>
                <w:rFonts w:hint="eastAsia" w:ascii="Times New Roman" w:hAnsi="Times New Roman" w:eastAsia="宋体" w:cs="Times New Roman"/>
                <w:b/>
                <w:bCs/>
                <w:color w:val="auto"/>
                <w:sz w:val="24"/>
                <w:szCs w:val="32"/>
                <w:highlight w:val="none"/>
                <w:lang w:val="en-US" w:eastAsia="zh-CN"/>
              </w:rPr>
              <w:t xml:space="preserve"> </w:t>
            </w:r>
            <w:r>
              <w:rPr>
                <w:rFonts w:hint="default" w:ascii="Times New Roman" w:hAnsi="Times New Roman" w:eastAsia="宋体" w:cs="Times New Roman"/>
                <w:b/>
                <w:bCs/>
                <w:color w:val="auto"/>
                <w:sz w:val="24"/>
                <w:szCs w:val="32"/>
                <w:highlight w:val="none"/>
              </w:rPr>
              <w:t>给水系统</w:t>
            </w:r>
          </w:p>
          <w:p w14:paraId="770756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eastAsia="宋体" w:cs="Times New Roman"/>
                <w:color w:val="auto"/>
                <w:sz w:val="24"/>
                <w:highlight w:val="none"/>
                <w:lang w:val="en-US" w:eastAsia="zh-CN"/>
              </w:rPr>
              <w:t>生活用水：</w:t>
            </w:r>
            <w:r>
              <w:rPr>
                <w:rFonts w:hint="default" w:ascii="Times New Roman" w:hAnsi="Times New Roman" w:eastAsia="宋体" w:cs="Times New Roman"/>
                <w:color w:val="auto"/>
                <w:sz w:val="24"/>
                <w:highlight w:val="none"/>
              </w:rPr>
              <w:t>本项目约有员工</w:t>
            </w:r>
            <w:r>
              <w:rPr>
                <w:rFonts w:hint="default" w:ascii="Times New Roman" w:hAnsi="Times New Roman" w:eastAsia="宋体" w:cs="Times New Roman"/>
                <w:color w:val="auto"/>
                <w:sz w:val="24"/>
                <w:highlight w:val="none"/>
                <w:lang w:val="en-US" w:eastAsia="zh-CN"/>
              </w:rPr>
              <w:t>20</w:t>
            </w:r>
            <w:r>
              <w:rPr>
                <w:rFonts w:hint="default" w:ascii="Times New Roman" w:hAnsi="Times New Roman" w:eastAsia="宋体" w:cs="Times New Roman"/>
                <w:color w:val="auto"/>
                <w:sz w:val="24"/>
                <w:highlight w:val="none"/>
              </w:rPr>
              <w:t>人，</w:t>
            </w:r>
            <w:r>
              <w:rPr>
                <w:rFonts w:hint="default" w:ascii="Times New Roman" w:hAnsi="Times New Roman" w:eastAsia="宋体" w:cs="Times New Roman"/>
                <w:color w:val="auto"/>
                <w:sz w:val="24"/>
                <w:highlight w:val="none"/>
                <w:lang w:val="en-US" w:eastAsia="zh-CN"/>
              </w:rPr>
              <w:t>均不在厂内</w:t>
            </w:r>
            <w:r>
              <w:rPr>
                <w:rFonts w:hint="default" w:ascii="Times New Roman" w:hAnsi="Times New Roman" w:eastAsia="宋体" w:cs="Times New Roman"/>
                <w:color w:val="auto"/>
                <w:sz w:val="24"/>
                <w:highlight w:val="none"/>
              </w:rPr>
              <w:t>食宿。参照广东省地方标准《用水定额 第3部分：生活》(DB44/T 1461.3-2021)中“国家行政机构办公楼”的用水规定取值，无食堂和浴室情况的用水量通用值为28m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/（人·a），</w:t>
            </w:r>
            <w:r>
              <w:rPr>
                <w:rFonts w:hint="eastAsia" w:ascii="Times New Roman" w:hAnsi="Times New Roman" w:eastAsia="宋体" w:cs="Times New Roman"/>
                <w:color w:val="auto"/>
                <w:sz w:val="24"/>
                <w:highlight w:val="none"/>
                <w:lang w:val="en-US" w:eastAsia="zh-CN"/>
              </w:rPr>
              <w:t>经</w:t>
            </w:r>
            <w:r>
              <w:rPr>
                <w:rFonts w:hint="default" w:ascii="Times New Roman" w:hAnsi="Times New Roman" w:eastAsia="宋体" w:cs="Times New Roman"/>
                <w:color w:val="auto"/>
                <w:sz w:val="24"/>
                <w:highlight w:val="none"/>
              </w:rPr>
              <w:t>计</w:t>
            </w:r>
            <w:r>
              <w:rPr>
                <w:rFonts w:hint="default" w:ascii="Times New Roman" w:hAnsi="Times New Roman" w:cs="Times New Roman"/>
                <w:color w:val="auto"/>
                <w:sz w:val="24"/>
                <w:szCs w:val="24"/>
                <w:highlight w:val="none"/>
              </w:rPr>
              <w:t>算，本项目办公生活用水量合计为</w:t>
            </w:r>
            <w:r>
              <w:rPr>
                <w:rFonts w:hint="default" w:ascii="Times New Roman" w:hAnsi="Times New Roman" w:cs="Times New Roman"/>
                <w:color w:val="auto"/>
                <w:sz w:val="24"/>
                <w:szCs w:val="24"/>
                <w:highlight w:val="none"/>
                <w:lang w:val="en-US" w:eastAsia="zh-CN"/>
              </w:rPr>
              <w:t>1.87</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/d，</w:t>
            </w:r>
            <w:r>
              <w:rPr>
                <w:rFonts w:hint="default" w:ascii="Times New Roman" w:hAnsi="Times New Roman" w:cs="Times New Roman"/>
                <w:color w:val="auto"/>
                <w:sz w:val="24"/>
                <w:szCs w:val="24"/>
                <w:highlight w:val="none"/>
                <w:lang w:val="en-US" w:eastAsia="zh-CN"/>
              </w:rPr>
              <w:t>560</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/a。</w:t>
            </w:r>
          </w:p>
          <w:p w14:paraId="7A884A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生产用水：经与建设单位核实，本项目不设置洗版工序，所用的PS版为外购新版，仅使用一次，不重复使用，无需对版面的保护胶膜以及图文部分剩余油墨进行清洗，不设置洗版工序，废版作为固废处理。</w:t>
            </w:r>
          </w:p>
          <w:p w14:paraId="0B3F85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项目用水工序为胶印机清洗，当墨渍过重，自动橡皮布清洗无法满足产品的清洗要求时，需手动清洗。手动清洗期间，需加入自来水以及少量的油墨清洗剂，根据建设单位提供的数据，用水量为</w:t>
            </w:r>
            <w:r>
              <w:rPr>
                <w:rFonts w:hint="eastAsia" w:cs="Times New Roman"/>
                <w:color w:val="auto"/>
                <w:sz w:val="24"/>
                <w:szCs w:val="24"/>
                <w:highlight w:val="none"/>
                <w:lang w:val="en-US" w:eastAsia="zh-CN"/>
              </w:rPr>
              <w:t>75</w:t>
            </w:r>
            <w:r>
              <w:rPr>
                <w:rFonts w:hint="eastAsia" w:ascii="Times New Roman" w:hAnsi="Times New Roman" w:cs="Times New Roman"/>
                <w:color w:val="auto"/>
                <w:sz w:val="24"/>
                <w:szCs w:val="24"/>
                <w:highlight w:val="none"/>
                <w:lang w:val="en-US" w:eastAsia="zh-CN"/>
              </w:rPr>
              <w:t>kg/a（</w:t>
            </w:r>
            <w:r>
              <w:rPr>
                <w:rFonts w:hint="eastAsia" w:cs="Times New Roman"/>
                <w:color w:val="auto"/>
                <w:sz w:val="24"/>
                <w:szCs w:val="24"/>
                <w:highlight w:val="none"/>
                <w:lang w:val="en-US" w:eastAsia="zh-CN"/>
              </w:rPr>
              <w:t>2</w:t>
            </w:r>
            <w:r>
              <w:rPr>
                <w:rFonts w:hint="eastAsia" w:ascii="Times New Roman" w:hAnsi="Times New Roman" w:cs="Times New Roman"/>
                <w:color w:val="auto"/>
                <w:sz w:val="24"/>
                <w:szCs w:val="24"/>
                <w:highlight w:val="none"/>
                <w:lang w:val="en-US" w:eastAsia="zh-CN"/>
              </w:rPr>
              <w:t>台胶印机），由于废水中含油墨及清洗剂组分，清洗过程产生的废水</w:t>
            </w:r>
            <w:r>
              <w:rPr>
                <w:rFonts w:hint="eastAsia" w:cs="Times New Roman"/>
                <w:color w:val="auto"/>
                <w:sz w:val="24"/>
                <w:szCs w:val="24"/>
                <w:highlight w:val="none"/>
                <w:lang w:val="en-US" w:eastAsia="zh-CN"/>
              </w:rPr>
              <w:t>直接使用抹布擦干，含清洗废水抹布</w:t>
            </w:r>
            <w:r>
              <w:rPr>
                <w:rFonts w:hint="eastAsia" w:ascii="Times New Roman" w:hAnsi="Times New Roman" w:cs="Times New Roman"/>
                <w:color w:val="auto"/>
                <w:sz w:val="24"/>
                <w:szCs w:val="24"/>
                <w:highlight w:val="none"/>
                <w:lang w:val="en-US" w:eastAsia="zh-CN"/>
              </w:rPr>
              <w:t>作为危废处理。</w:t>
            </w:r>
          </w:p>
          <w:p w14:paraId="02D6769F">
            <w:pPr>
              <w:keepNext w:val="0"/>
              <w:keepLines w:val="0"/>
              <w:pageBreakBefore w:val="0"/>
              <w:widowControl w:val="0"/>
              <w:numPr>
                <w:ilvl w:val="0"/>
                <w:numId w:val="5"/>
              </w:numPr>
              <w:suppressLineNumbers w:val="0"/>
              <w:kinsoku/>
              <w:wordWrap/>
              <w:overflowPunct/>
              <w:topLinePunct w:val="0"/>
              <w:autoSpaceDE/>
              <w:autoSpaceDN/>
              <w:bidi w:val="0"/>
              <w:adjustRightInd/>
              <w:snapToGrid/>
              <w:spacing w:before="157" w:beforeLines="50" w:beforeAutospacing="0" w:after="0" w:afterAutospacing="0" w:line="360" w:lineRule="auto"/>
              <w:ind w:left="480" w:leftChars="0" w:right="0" w:firstLine="0" w:firstLineChars="0"/>
              <w:textAlignment w:val="auto"/>
              <w:rPr>
                <w:rFonts w:hint="eastAsia" w:ascii="Times New Roman" w:hAnsi="Times New Roman" w:eastAsia="宋体" w:cs="Times New Roman"/>
                <w:b/>
                <w:bCs/>
                <w:color w:val="auto"/>
                <w:sz w:val="24"/>
                <w:szCs w:val="32"/>
                <w:highlight w:val="none"/>
                <w:lang w:val="en-US" w:eastAsia="zh-CN"/>
              </w:rPr>
            </w:pPr>
            <w:r>
              <w:rPr>
                <w:rFonts w:hint="eastAsia" w:ascii="Times New Roman" w:hAnsi="Times New Roman" w:eastAsia="宋体" w:cs="Times New Roman"/>
                <w:b/>
                <w:bCs/>
                <w:color w:val="auto"/>
                <w:sz w:val="24"/>
                <w:szCs w:val="32"/>
                <w:highlight w:val="none"/>
                <w:lang w:val="en-US" w:eastAsia="zh-CN"/>
              </w:rPr>
              <w:t>排水系统</w:t>
            </w:r>
          </w:p>
          <w:p w14:paraId="2F71B42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360" w:lineRule="auto"/>
              <w:ind w:left="0" w:leftChars="0" w:right="0" w:firstLine="422" w:firstLineChars="175"/>
              <w:textAlignment w:val="auto"/>
              <w:rPr>
                <w:rFonts w:hint="eastAsia" w:ascii="Times New Roman" w:hAnsi="Times New Roman" w:eastAsia="TT125o00" w:cs="Times New Roman"/>
                <w:color w:val="auto"/>
                <w:kern w:val="0"/>
                <w:sz w:val="24"/>
                <w:szCs w:val="24"/>
                <w:highlight w:val="none"/>
                <w:lang w:val="en-US" w:eastAsia="zh-CN" w:bidi="ar"/>
              </w:rPr>
            </w:pPr>
            <w:r>
              <w:rPr>
                <w:rFonts w:hint="eastAsia" w:ascii="Times New Roman" w:hAnsi="Times New Roman" w:eastAsia="宋体" w:cs="Times New Roman"/>
                <w:b/>
                <w:bCs/>
                <w:color w:val="auto"/>
                <w:sz w:val="24"/>
                <w:szCs w:val="32"/>
                <w:highlight w:val="none"/>
                <w:lang w:val="en-US" w:eastAsia="zh-CN"/>
              </w:rPr>
              <w:t xml:space="preserve"> </w:t>
            </w:r>
            <w:r>
              <w:rPr>
                <w:rFonts w:hint="eastAsia" w:ascii="Times New Roman" w:hAnsi="Times New Roman" w:eastAsia="宋体" w:cs="Times New Roman"/>
                <w:b w:val="0"/>
                <w:bCs w:val="0"/>
                <w:color w:val="auto"/>
                <w:sz w:val="24"/>
                <w:szCs w:val="32"/>
                <w:highlight w:val="none"/>
                <w:lang w:val="en-US" w:eastAsia="zh-CN"/>
              </w:rPr>
              <w:t>项目实施雨污分流，生活污水经化粪池处理后达到</w:t>
            </w:r>
            <w:r>
              <w:rPr>
                <w:rFonts w:hint="default" w:ascii="Times New Roman" w:hAnsi="Times New Roman" w:eastAsia="TT125o00" w:cs="Times New Roman"/>
                <w:color w:val="auto"/>
                <w:kern w:val="0"/>
                <w:sz w:val="24"/>
                <w:szCs w:val="24"/>
                <w:highlight w:val="none"/>
                <w:lang w:val="en-US" w:eastAsia="zh-CN" w:bidi="ar"/>
              </w:rPr>
              <w:t>广东省《水污染物排放限值》(DB44/26-2001)第二时段三级标准和广东阳东经济开发区污水处理厂设计进水水质要求两者的较严值后，经取得排水许可证后通过市政污水管网进入广东阳东经济开发区污水处理厂处理</w:t>
            </w:r>
            <w:r>
              <w:rPr>
                <w:rFonts w:hint="eastAsia" w:ascii="Times New Roman" w:hAnsi="Times New Roman" w:eastAsia="TT125o00" w:cs="Times New Roman"/>
                <w:color w:val="auto"/>
                <w:kern w:val="0"/>
                <w:sz w:val="24"/>
                <w:szCs w:val="24"/>
                <w:highlight w:val="none"/>
                <w:lang w:val="en-US" w:eastAsia="zh-CN" w:bidi="ar"/>
              </w:rPr>
              <w:t>。</w:t>
            </w:r>
          </w:p>
          <w:p w14:paraId="31B28D1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360" w:lineRule="auto"/>
              <w:ind w:left="0" w:leftChars="0" w:right="0" w:firstLine="420" w:firstLineChars="175"/>
              <w:textAlignment w:val="auto"/>
              <w:rPr>
                <w:rFonts w:hint="eastAsia" w:ascii="Times New Roman" w:hAnsi="Times New Roman" w:eastAsia="TT125o00" w:cs="Times New Roman"/>
                <w:color w:val="auto"/>
                <w:kern w:val="0"/>
                <w:sz w:val="24"/>
                <w:szCs w:val="24"/>
                <w:highlight w:val="none"/>
                <w:lang w:val="en-US" w:eastAsia="zh-CN" w:bidi="ar"/>
              </w:rPr>
            </w:pPr>
            <w:r>
              <w:rPr>
                <w:rFonts w:hint="eastAsia" w:ascii="Times New Roman" w:hAnsi="Times New Roman" w:eastAsia="TT125o00" w:cs="Times New Roman"/>
                <w:color w:val="auto"/>
                <w:kern w:val="0"/>
                <w:sz w:val="24"/>
                <w:szCs w:val="24"/>
                <w:highlight w:val="none"/>
                <w:lang w:val="en-US" w:eastAsia="zh-CN" w:bidi="ar"/>
              </w:rPr>
              <w:t>胶印机清洗产生的生产废水暂存至危废桶，委托危废资质单位处理。</w:t>
            </w:r>
          </w:p>
          <w:p w14:paraId="08844C6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360" w:lineRule="auto"/>
              <w:ind w:left="420" w:leftChars="200" w:right="0"/>
              <w:textAlignment w:val="auto"/>
              <w:rPr>
                <w:rFonts w:hint="eastAsia" w:ascii="Times New Roman" w:hAnsi="Times New Roman" w:eastAsia="宋体" w:cs="Times New Roman"/>
                <w:b/>
                <w:bCs/>
                <w:color w:val="auto"/>
                <w:kern w:val="2"/>
                <w:sz w:val="24"/>
                <w:szCs w:val="32"/>
                <w:highlight w:val="none"/>
                <w:lang w:val="en-US" w:eastAsia="zh-CN" w:bidi="ar-SA"/>
              </w:rPr>
            </w:pPr>
            <w:r>
              <w:rPr>
                <w:rFonts w:hint="eastAsia" w:ascii="Times New Roman" w:hAnsi="Times New Roman" w:eastAsia="宋体" w:cs="Times New Roman"/>
                <w:b/>
                <w:bCs/>
                <w:color w:val="auto"/>
                <w:kern w:val="2"/>
                <w:sz w:val="24"/>
                <w:szCs w:val="32"/>
                <w:highlight w:val="none"/>
                <w:lang w:val="en-US" w:eastAsia="zh-CN" w:bidi="ar-SA"/>
              </w:rPr>
              <w:t>7、供电系统</w:t>
            </w:r>
          </w:p>
          <w:p w14:paraId="17E865A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highlight w:val="none"/>
              </w:rPr>
            </w:pPr>
            <w:r>
              <w:rPr>
                <w:rFonts w:hint="default" w:ascii="Times New Roman" w:hAnsi="Times New Roman" w:eastAsia="宋体" w:cs="Times New Roman"/>
                <w:color w:val="auto"/>
                <w:sz w:val="24"/>
                <w:szCs w:val="32"/>
                <w:highlight w:val="none"/>
              </w:rPr>
              <w:t>项目用电由工业园区电网供给，年用电量约为</w:t>
            </w:r>
            <w:r>
              <w:rPr>
                <w:rFonts w:hint="eastAsia" w:cs="Times New Roman"/>
                <w:color w:val="auto"/>
                <w:sz w:val="24"/>
                <w:szCs w:val="32"/>
                <w:highlight w:val="none"/>
                <w:lang w:val="en-US" w:eastAsia="zh-CN"/>
              </w:rPr>
              <w:t>2</w:t>
            </w:r>
            <w:r>
              <w:rPr>
                <w:rFonts w:hint="default" w:ascii="Times New Roman" w:hAnsi="Times New Roman" w:eastAsia="宋体" w:cs="Times New Roman"/>
                <w:color w:val="auto"/>
                <w:sz w:val="24"/>
                <w:szCs w:val="32"/>
                <w:highlight w:val="none"/>
                <w:lang w:val="en-US" w:eastAsia="zh-CN"/>
              </w:rPr>
              <w:t>0</w:t>
            </w:r>
            <w:r>
              <w:rPr>
                <w:rFonts w:hint="default" w:ascii="Times New Roman" w:hAnsi="Times New Roman" w:eastAsia="宋体" w:cs="Times New Roman"/>
                <w:color w:val="auto"/>
                <w:sz w:val="24"/>
                <w:szCs w:val="32"/>
                <w:highlight w:val="none"/>
              </w:rPr>
              <w:t>万kWh/a，项目内不设锅炉、备用发电机。</w:t>
            </w:r>
          </w:p>
          <w:p w14:paraId="55C47357">
            <w:pPr>
              <w:keepNext w:val="0"/>
              <w:keepLines w:val="0"/>
              <w:pageBreakBefore w:val="0"/>
              <w:widowControl w:val="0"/>
              <w:numPr>
                <w:ilvl w:val="0"/>
                <w:numId w:val="6"/>
              </w:numPr>
              <w:suppressLineNumbers w:val="0"/>
              <w:kinsoku/>
              <w:wordWrap/>
              <w:overflowPunct/>
              <w:topLinePunct w:val="0"/>
              <w:autoSpaceDE/>
              <w:autoSpaceDN/>
              <w:bidi w:val="0"/>
              <w:adjustRightInd/>
              <w:snapToGrid/>
              <w:spacing w:before="157" w:beforeLines="50" w:beforeAutospacing="0" w:after="0" w:afterAutospacing="0" w:line="360" w:lineRule="auto"/>
              <w:ind w:left="420" w:leftChars="200" w:right="0"/>
              <w:textAlignment w:val="auto"/>
              <w:rPr>
                <w:rFonts w:hint="eastAsia" w:ascii="Times New Roman" w:hAnsi="Times New Roman" w:eastAsia="宋体" w:cs="Times New Roman"/>
                <w:b/>
                <w:bCs/>
                <w:color w:val="auto"/>
                <w:kern w:val="2"/>
                <w:sz w:val="24"/>
                <w:szCs w:val="32"/>
                <w:highlight w:val="none"/>
                <w:lang w:val="en-US" w:eastAsia="zh-CN" w:bidi="ar-SA"/>
              </w:rPr>
            </w:pPr>
            <w:r>
              <w:rPr>
                <w:rFonts w:hint="eastAsia" w:ascii="Times New Roman" w:hAnsi="Times New Roman" w:eastAsia="宋体" w:cs="Times New Roman"/>
                <w:b/>
                <w:bCs/>
                <w:color w:val="auto"/>
                <w:kern w:val="2"/>
                <w:sz w:val="24"/>
                <w:szCs w:val="32"/>
                <w:highlight w:val="none"/>
                <w:lang w:val="en-US" w:eastAsia="zh-CN" w:bidi="ar-SA"/>
              </w:rPr>
              <w:t>水平衡</w:t>
            </w:r>
          </w:p>
          <w:p w14:paraId="2EB161E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360" w:lineRule="auto"/>
              <w:ind w:left="0" w:right="0"/>
              <w:textAlignment w:val="auto"/>
              <w:rPr>
                <w:rFonts w:hint="default" w:ascii="Times New Roman" w:hAnsi="Times New Roman" w:eastAsia="宋体" w:cs="Times New Roman"/>
                <w:b w:val="0"/>
                <w:bCs w:val="0"/>
                <w:color w:val="auto"/>
                <w:kern w:val="2"/>
                <w:sz w:val="24"/>
                <w:szCs w:val="32"/>
                <w:highlight w:val="none"/>
                <w:lang w:val="en-US" w:eastAsia="zh-CN" w:bidi="ar-SA"/>
              </w:rPr>
            </w:pPr>
            <w:r>
              <w:rPr>
                <w:rFonts w:hint="eastAsia" w:ascii="Times New Roman" w:hAnsi="Times New Roman" w:eastAsia="宋体" w:cs="Times New Roman"/>
                <w:b/>
                <w:bCs/>
                <w:color w:val="auto"/>
                <w:kern w:val="2"/>
                <w:sz w:val="24"/>
                <w:szCs w:val="32"/>
                <w:highlight w:val="none"/>
                <w:lang w:val="en-US" w:eastAsia="zh-CN" w:bidi="ar-SA"/>
              </w:rPr>
              <w:t xml:space="preserve">   </w:t>
            </w:r>
            <w:r>
              <w:rPr>
                <w:rFonts w:hint="eastAsia" w:ascii="Times New Roman" w:hAnsi="Times New Roman" w:eastAsia="宋体" w:cs="Times New Roman"/>
                <w:b w:val="0"/>
                <w:bCs w:val="0"/>
                <w:color w:val="auto"/>
                <w:kern w:val="2"/>
                <w:sz w:val="24"/>
                <w:szCs w:val="32"/>
                <w:highlight w:val="none"/>
                <w:lang w:val="en-US" w:eastAsia="zh-CN" w:bidi="ar-SA"/>
              </w:rPr>
              <w:t xml:space="preserve"> 项目的年用水量以及排水去向如下所示：</w:t>
            </w:r>
          </w:p>
          <w:p w14:paraId="2BA3853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360" w:lineRule="auto"/>
              <w:ind w:left="0" w:right="0"/>
              <w:jc w:val="both"/>
              <w:textAlignment w:val="auto"/>
              <w:rPr>
                <w:rFonts w:hint="default" w:ascii="Times New Roman" w:hAnsi="Times New Roman" w:eastAsia="宋体" w:cs="Times New Roman"/>
                <w:b/>
                <w:bCs/>
                <w:color w:val="auto"/>
                <w:kern w:val="2"/>
                <w:sz w:val="24"/>
                <w:szCs w:val="32"/>
                <w:highlight w:val="none"/>
                <w:lang w:val="en-US" w:eastAsia="zh-CN" w:bidi="ar-SA"/>
              </w:rPr>
            </w:pPr>
            <w:r>
              <w:rPr>
                <w:color w:val="auto"/>
              </w:rPr>
              <w:drawing>
                <wp:inline distT="0" distB="0" distL="114300" distR="114300">
                  <wp:extent cx="5237480" cy="2200910"/>
                  <wp:effectExtent l="0" t="0" r="7620" b="8890"/>
                  <wp:docPr id="12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6"/>
                          <pic:cNvPicPr>
                            <a:picLocks noChangeAspect="1"/>
                          </pic:cNvPicPr>
                        </pic:nvPicPr>
                        <pic:blipFill>
                          <a:blip r:embed="rId11"/>
                          <a:stretch>
                            <a:fillRect/>
                          </a:stretch>
                        </pic:blipFill>
                        <pic:spPr>
                          <a:xfrm>
                            <a:off x="0" y="0"/>
                            <a:ext cx="5237480" cy="2200910"/>
                          </a:xfrm>
                          <a:prstGeom prst="rect">
                            <a:avLst/>
                          </a:prstGeom>
                          <a:noFill/>
                          <a:ln>
                            <a:noFill/>
                          </a:ln>
                        </pic:spPr>
                      </pic:pic>
                    </a:graphicData>
                  </a:graphic>
                </wp:inline>
              </w:drawing>
            </w:r>
          </w:p>
          <w:p w14:paraId="6307DFC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360" w:lineRule="auto"/>
              <w:ind w:left="420" w:leftChars="200" w:right="0"/>
              <w:jc w:val="center"/>
              <w:textAlignment w:val="auto"/>
              <w:rPr>
                <w:rFonts w:hint="default" w:ascii="Times New Roman" w:hAnsi="Times New Roman" w:eastAsia="宋体" w:cs="Times New Roman"/>
                <w:b/>
                <w:bCs/>
                <w:color w:val="auto"/>
                <w:kern w:val="2"/>
                <w:sz w:val="24"/>
                <w:szCs w:val="32"/>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图</w:t>
            </w:r>
            <w:r>
              <w:rPr>
                <w:rFonts w:hint="eastAsia" w:cs="Times New Roman"/>
                <w:b/>
                <w:bCs/>
                <w:color w:val="auto"/>
                <w:kern w:val="2"/>
                <w:sz w:val="21"/>
                <w:szCs w:val="21"/>
                <w:highlight w:val="none"/>
                <w:lang w:val="en-US" w:eastAsia="zh-CN" w:bidi="ar-SA"/>
              </w:rPr>
              <w:t>2-1</w:t>
            </w:r>
            <w:r>
              <w:rPr>
                <w:rFonts w:hint="eastAsia" w:ascii="Times New Roman" w:hAnsi="Times New Roman" w:eastAsia="宋体" w:cs="Times New Roman"/>
                <w:b/>
                <w:bCs/>
                <w:color w:val="auto"/>
                <w:kern w:val="2"/>
                <w:sz w:val="21"/>
                <w:szCs w:val="21"/>
                <w:highlight w:val="none"/>
                <w:lang w:val="en-US" w:eastAsia="zh-CN" w:bidi="ar-SA"/>
              </w:rPr>
              <w:t xml:space="preserve"> 项目水平衡图（</w:t>
            </w:r>
            <w:r>
              <w:rPr>
                <w:rFonts w:hint="eastAsia" w:cs="Times New Roman"/>
                <w:b/>
                <w:bCs/>
                <w:color w:val="auto"/>
                <w:kern w:val="2"/>
                <w:sz w:val="21"/>
                <w:szCs w:val="21"/>
                <w:highlight w:val="none"/>
                <w:lang w:val="en-US" w:eastAsia="zh-CN" w:bidi="ar-SA"/>
              </w:rPr>
              <w:t>m</w:t>
            </w:r>
            <w:r>
              <w:rPr>
                <w:rFonts w:hint="eastAsia" w:cs="Times New Roman"/>
                <w:b/>
                <w:bCs/>
                <w:color w:val="auto"/>
                <w:kern w:val="2"/>
                <w:sz w:val="21"/>
                <w:szCs w:val="21"/>
                <w:highlight w:val="none"/>
                <w:vertAlign w:val="superscript"/>
                <w:lang w:val="en-US" w:eastAsia="zh-CN" w:bidi="ar-SA"/>
              </w:rPr>
              <w:t>3</w:t>
            </w:r>
            <w:r>
              <w:rPr>
                <w:rFonts w:hint="eastAsia" w:ascii="Times New Roman" w:hAnsi="Times New Roman" w:eastAsia="宋体" w:cs="Times New Roman"/>
                <w:b/>
                <w:bCs/>
                <w:color w:val="auto"/>
                <w:kern w:val="2"/>
                <w:sz w:val="21"/>
                <w:szCs w:val="21"/>
                <w:highlight w:val="none"/>
                <w:lang w:val="en-US" w:eastAsia="zh-CN" w:bidi="ar-SA"/>
              </w:rPr>
              <w:t>/a）</w:t>
            </w:r>
          </w:p>
          <w:p w14:paraId="2D6434A4">
            <w:pPr>
              <w:keepNext w:val="0"/>
              <w:keepLines w:val="0"/>
              <w:numPr>
                <w:ilvl w:val="0"/>
                <w:numId w:val="0"/>
              </w:numPr>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szCs w:val="32"/>
                <w:highlight w:val="none"/>
              </w:rPr>
            </w:pPr>
            <w:r>
              <w:rPr>
                <w:rFonts w:hint="eastAsia" w:ascii="Times New Roman" w:hAnsi="Times New Roman" w:eastAsia="宋体" w:cs="Times New Roman"/>
                <w:b/>
                <w:bCs/>
                <w:color w:val="auto"/>
                <w:sz w:val="24"/>
                <w:szCs w:val="32"/>
                <w:highlight w:val="none"/>
                <w:lang w:val="en-US" w:eastAsia="zh-CN"/>
              </w:rPr>
              <w:t>9、</w:t>
            </w:r>
            <w:r>
              <w:rPr>
                <w:rFonts w:hint="default" w:ascii="Times New Roman" w:hAnsi="Times New Roman" w:eastAsia="宋体" w:cs="Times New Roman"/>
                <w:b/>
                <w:bCs/>
                <w:color w:val="auto"/>
                <w:sz w:val="24"/>
                <w:szCs w:val="32"/>
                <w:highlight w:val="none"/>
              </w:rPr>
              <w:t>厂区平面布置</w:t>
            </w:r>
          </w:p>
          <w:p w14:paraId="6EB30D2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highlight w:val="none"/>
              </w:rPr>
            </w:pPr>
            <w:r>
              <w:rPr>
                <w:rFonts w:hint="default" w:ascii="Times New Roman" w:hAnsi="Times New Roman" w:eastAsia="宋体" w:cs="Times New Roman"/>
                <w:color w:val="auto"/>
                <w:sz w:val="24"/>
                <w:szCs w:val="32"/>
                <w:highlight w:val="none"/>
              </w:rPr>
              <w:t>本项目</w:t>
            </w:r>
            <w:r>
              <w:rPr>
                <w:rFonts w:hint="default" w:ascii="Times New Roman" w:hAnsi="Times New Roman" w:eastAsia="宋体" w:cs="Times New Roman"/>
                <w:color w:val="auto"/>
                <w:sz w:val="24"/>
                <w:szCs w:val="32"/>
                <w:highlight w:val="none"/>
                <w:lang w:val="en-US" w:eastAsia="zh-CN"/>
              </w:rPr>
              <w:t>总</w:t>
            </w:r>
            <w:r>
              <w:rPr>
                <w:rFonts w:hint="default" w:ascii="Times New Roman" w:hAnsi="Times New Roman" w:eastAsia="宋体" w:cs="Times New Roman"/>
                <w:color w:val="auto"/>
                <w:sz w:val="24"/>
                <w:szCs w:val="32"/>
                <w:highlight w:val="none"/>
              </w:rPr>
              <w:t>平面布置</w:t>
            </w:r>
            <w:r>
              <w:rPr>
                <w:rFonts w:hint="default" w:ascii="Times New Roman" w:hAnsi="Times New Roman" w:eastAsia="宋体" w:cs="Times New Roman"/>
                <w:color w:val="auto"/>
                <w:sz w:val="24"/>
                <w:szCs w:val="32"/>
                <w:highlight w:val="none"/>
                <w:lang w:val="en-US" w:eastAsia="zh-CN"/>
              </w:rPr>
              <w:t>（见附图4）</w:t>
            </w:r>
            <w:r>
              <w:rPr>
                <w:rFonts w:hint="default" w:ascii="Times New Roman" w:hAnsi="Times New Roman" w:eastAsia="宋体" w:cs="Times New Roman"/>
                <w:color w:val="auto"/>
                <w:sz w:val="24"/>
                <w:szCs w:val="32"/>
                <w:highlight w:val="none"/>
              </w:rPr>
              <w:t>根据生产的建筑防火、安全、卫生、环境保护及节约用地和减少工程投资等要求</w:t>
            </w:r>
            <w:r>
              <w:rPr>
                <w:rFonts w:hint="default" w:ascii="Times New Roman" w:hAnsi="Times New Roman" w:eastAsia="宋体" w:cs="Times New Roman"/>
                <w:color w:val="auto"/>
                <w:sz w:val="24"/>
                <w:szCs w:val="32"/>
                <w:highlight w:val="none"/>
                <w:lang w:val="en-US" w:eastAsia="zh-CN"/>
              </w:rPr>
              <w:t>进行布置</w:t>
            </w:r>
            <w:r>
              <w:rPr>
                <w:rFonts w:hint="default" w:ascii="Times New Roman" w:hAnsi="Times New Roman" w:eastAsia="宋体" w:cs="Times New Roman"/>
                <w:color w:val="auto"/>
                <w:sz w:val="24"/>
                <w:szCs w:val="32"/>
                <w:highlight w:val="none"/>
              </w:rPr>
              <w:t>。项目总体布局较为合理、功能分区明确、组织协作良好，满足功能分区要求及环保、消防、安全、运输作业要求。</w:t>
            </w:r>
          </w:p>
          <w:p w14:paraId="24636CC2">
            <w:pPr>
              <w:pStyle w:val="18"/>
              <w:keepNext w:val="0"/>
              <w:keepLines w:val="0"/>
              <w:suppressLineNumbers w:val="0"/>
              <w:spacing w:beforeAutospacing="0" w:afterAutospacing="0"/>
              <w:ind w:left="0"/>
              <w:rPr>
                <w:rFonts w:hint="default" w:ascii="Times New Roman" w:hAnsi="Times New Roman" w:cs="Times New Roman"/>
                <w:color w:val="auto"/>
                <w:highlight w:val="none"/>
              </w:rPr>
            </w:pPr>
          </w:p>
          <w:p w14:paraId="3CA0DB0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highlight w:val="none"/>
              </w:rPr>
            </w:pPr>
          </w:p>
          <w:p w14:paraId="2F31E42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highlight w:val="none"/>
              </w:rPr>
            </w:pPr>
          </w:p>
          <w:p w14:paraId="0F31A24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highlight w:val="none"/>
              </w:rPr>
            </w:pPr>
            <w:r>
              <w:rPr>
                <w:rFonts w:hint="default" w:ascii="Times New Roman" w:hAnsi="Times New Roman" w:cs="Times New Roman"/>
                <w:color w:val="auto"/>
                <w:sz w:val="24"/>
                <w:highlight w:val="none"/>
              </w:rPr>
              <mc:AlternateContent>
                <mc:Choice Requires="wps">
                  <w:drawing>
                    <wp:anchor distT="0" distB="0" distL="114300" distR="114300" simplePos="0" relativeHeight="251661312" behindDoc="0" locked="0" layoutInCell="1" allowOverlap="1">
                      <wp:simplePos x="0" y="0"/>
                      <wp:positionH relativeFrom="column">
                        <wp:posOffset>2893060</wp:posOffset>
                      </wp:positionH>
                      <wp:positionV relativeFrom="paragraph">
                        <wp:posOffset>38735</wp:posOffset>
                      </wp:positionV>
                      <wp:extent cx="603250" cy="0"/>
                      <wp:effectExtent l="0" t="0" r="0" b="0"/>
                      <wp:wrapNone/>
                      <wp:docPr id="71" name="自选图形 703"/>
                      <wp:cNvGraphicFramePr/>
                      <a:graphic xmlns:a="http://schemas.openxmlformats.org/drawingml/2006/main">
                        <a:graphicData uri="http://schemas.microsoft.com/office/word/2010/wordprocessingShape">
                          <wps:wsp>
                            <wps:cNvCnPr/>
                            <wps:spPr>
                              <a:xfrm flipH="1">
                                <a:off x="0" y="0"/>
                                <a:ext cx="603250" cy="0"/>
                              </a:xfrm>
                              <a:prstGeom prst="straightConnector1">
                                <a:avLst/>
                              </a:prstGeom>
                              <a:ln>
                                <a:noFill/>
                              </a:ln>
                            </wps:spPr>
                            <wps:bodyPr/>
                          </wps:wsp>
                        </a:graphicData>
                      </a:graphic>
                    </wp:anchor>
                  </w:drawing>
                </mc:Choice>
                <mc:Fallback>
                  <w:pict>
                    <v:shape id="自选图形 703" o:spid="_x0000_s1026" o:spt="32" type="#_x0000_t32" style="position:absolute;left:0pt;flip:x;margin-left:227.8pt;margin-top:3.05pt;height:0pt;width:47.5pt;z-index:251661312;mso-width-relative:page;mso-height-relative:page;" filled="f" stroked="f" coordsize="21600,21600" o:gfxdata="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QswygdIAAAAHAQAADwAA&#10;AAAAAAABACAAAAAiAAAAZHJzL2Rvd25yZXYueG1sUEsBAhQAFAAAAAgAh07iQLsnOuSqAQAAOgMA&#10;AA4AAAAAAAAAAQAgAAAAIQEAAGRycy9lMm9Eb2MueG1sUEsFBgAAAAAGAAYAWQEAAD0FAAAAAA==&#10;">
                      <v:fill on="f" focussize="0,0"/>
                      <v:stroke on="f"/>
                      <v:imagedata o:title=""/>
                      <o:lock v:ext="edit" aspectratio="f"/>
                    </v:shape>
                  </w:pict>
                </mc:Fallback>
              </mc:AlternateContent>
            </w:r>
          </w:p>
          <w:p w14:paraId="575652B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highlight w:val="none"/>
              </w:rPr>
            </w:pPr>
          </w:p>
          <w:p w14:paraId="786142A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highlight w:val="none"/>
              </w:rPr>
            </w:pPr>
          </w:p>
          <w:p w14:paraId="1394BB3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highlight w:val="none"/>
              </w:rPr>
            </w:pPr>
          </w:p>
          <w:p w14:paraId="39F5740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highlight w:val="none"/>
              </w:rPr>
            </w:pPr>
          </w:p>
          <w:p w14:paraId="2A3AE193">
            <w:pPr>
              <w:keepNext w:val="0"/>
              <w:keepLines w:val="0"/>
              <w:suppressLineNumbers w:val="0"/>
              <w:spacing w:before="0" w:beforeAutospacing="0" w:after="0" w:afterAutospacing="0"/>
              <w:ind w:left="0" w:right="0"/>
              <w:rPr>
                <w:rFonts w:hint="default" w:ascii="Times New Roman" w:hAnsi="Times New Roman" w:cs="Times New Roman"/>
                <w:color w:val="auto"/>
                <w:highlight w:val="none"/>
                <w:lang w:val="en-US" w:eastAsia="zh-CN"/>
              </w:rPr>
            </w:pPr>
          </w:p>
          <w:p w14:paraId="7DA3852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highlight w:val="none"/>
              </w:rPr>
            </w:pPr>
          </w:p>
          <w:p w14:paraId="7556113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highlight w:val="none"/>
              </w:rPr>
            </w:pPr>
          </w:p>
          <w:p w14:paraId="0ED8BC7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highlight w:val="none"/>
              </w:rPr>
            </w:pPr>
          </w:p>
        </w:tc>
      </w:tr>
      <w:tr w14:paraId="52CE90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71" w:hRule="atLeast"/>
          <w:jc w:val="center"/>
        </w:trPr>
        <w:tc>
          <w:tcPr>
            <w:tcW w:w="520" w:type="dxa"/>
            <w:noWrap w:val="0"/>
            <w:vAlign w:val="center"/>
          </w:tcPr>
          <w:p w14:paraId="4203F1FC">
            <w:pPr>
              <w:pStyle w:val="28"/>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工艺流程和产排污环节</w:t>
            </w:r>
          </w:p>
        </w:tc>
        <w:tc>
          <w:tcPr>
            <w:tcW w:w="8464" w:type="dxa"/>
            <w:noWrap w:val="0"/>
            <w:vAlign w:val="top"/>
          </w:tcPr>
          <w:p w14:paraId="74C9E9D6">
            <w:pPr>
              <w:keepNext w:val="0"/>
              <w:keepLines w:val="0"/>
              <w:suppressLineNumbers w:val="0"/>
              <w:adjustRightInd w:val="0"/>
              <w:snapToGrid w:val="0"/>
              <w:spacing w:before="120" w:beforeLines="50" w:beforeAutospacing="0" w:after="120" w:afterLines="50" w:afterAutospacing="0"/>
              <w:ind w:left="0" w:right="0"/>
              <w:rPr>
                <w:rFonts w:hint="default" w:ascii="Times New Roman" w:hAnsi="Times New Roman" w:eastAsia="宋体" w:cs="Times New Roman"/>
                <w:b/>
                <w:bCs/>
                <w:color w:val="auto"/>
                <w:sz w:val="24"/>
                <w:szCs w:val="32"/>
                <w:highlight w:val="none"/>
              </w:rPr>
            </w:pPr>
            <w:r>
              <w:rPr>
                <w:rFonts w:hint="default" w:ascii="Times New Roman" w:hAnsi="Times New Roman" w:eastAsia="宋体" w:cs="Times New Roman"/>
                <w:b/>
                <w:bCs/>
                <w:color w:val="auto"/>
                <w:sz w:val="24"/>
                <w:szCs w:val="32"/>
                <w:highlight w:val="none"/>
              </w:rPr>
              <w:t>工艺流程简述：</w:t>
            </w:r>
          </w:p>
          <w:p w14:paraId="7561B6B6">
            <w:pPr>
              <w:pStyle w:val="80"/>
              <w:keepNext w:val="0"/>
              <w:keepLines w:val="0"/>
              <w:numPr>
                <w:ilvl w:val="0"/>
                <w:numId w:val="7"/>
              </w:numPr>
              <w:suppressLineNumbers w:val="0"/>
              <w:spacing w:before="0" w:beforeAutospacing="0" w:after="0" w:afterAutospacing="0" w:line="360" w:lineRule="auto"/>
              <w:ind w:left="358" w:leftChars="0" w:right="0" w:firstLine="482" w:firstLineChars="0"/>
              <w:jc w:val="left"/>
              <w:rPr>
                <w:rFonts w:hint="default" w:ascii="Times New Roman" w:hAnsi="Times New Roman" w:eastAsia="宋体" w:cs="Times New Roman"/>
                <w:b/>
                <w:bCs/>
                <w:color w:val="auto"/>
                <w:sz w:val="24"/>
                <w:szCs w:val="32"/>
                <w:highlight w:val="none"/>
                <w:lang w:val="en-US" w:eastAsia="zh-CN"/>
              </w:rPr>
            </w:pPr>
            <w:r>
              <w:rPr>
                <w:rFonts w:hint="eastAsia" w:ascii="Times New Roman" w:cs="Times New Roman"/>
                <w:b/>
                <w:bCs/>
                <w:color w:val="auto"/>
                <w:sz w:val="24"/>
                <w:szCs w:val="32"/>
                <w:highlight w:val="none"/>
                <w:lang w:val="en-US" w:eastAsia="zh-CN"/>
              </w:rPr>
              <w:t>运营期</w:t>
            </w:r>
            <w:r>
              <w:rPr>
                <w:rFonts w:hint="default" w:ascii="Times New Roman" w:hAnsi="Times New Roman" w:eastAsia="宋体" w:cs="Times New Roman"/>
                <w:b/>
                <w:bCs/>
                <w:color w:val="auto"/>
                <w:sz w:val="24"/>
                <w:szCs w:val="32"/>
                <w:highlight w:val="none"/>
                <w:lang w:val="en-US" w:eastAsia="zh-CN"/>
              </w:rPr>
              <w:t>生产工艺流程</w:t>
            </w:r>
          </w:p>
          <w:p w14:paraId="14D20BC4">
            <w:pPr>
              <w:pStyle w:val="80"/>
              <w:keepNext w:val="0"/>
              <w:keepLines w:val="0"/>
              <w:numPr>
                <w:ilvl w:val="0"/>
                <w:numId w:val="0"/>
              </w:numPr>
              <w:suppressLineNumbers w:val="0"/>
              <w:spacing w:before="0" w:beforeAutospacing="0" w:after="0" w:afterAutospacing="0" w:line="360" w:lineRule="auto"/>
              <w:ind w:left="0" w:right="0"/>
              <w:jc w:val="center"/>
              <w:rPr>
                <w:rFonts w:hint="default" w:ascii="Times New Roman" w:hAnsi="Times New Roman" w:eastAsia="宋体" w:cs="Times New Roman"/>
                <w:b/>
                <w:bCs/>
                <w:color w:val="auto"/>
                <w:sz w:val="21"/>
                <w:highlight w:val="none"/>
              </w:rPr>
            </w:pPr>
            <w:r>
              <w:rPr>
                <w:color w:val="auto"/>
              </w:rPr>
              <w:drawing>
                <wp:inline distT="0" distB="0" distL="114300" distR="114300">
                  <wp:extent cx="5229860" cy="2319655"/>
                  <wp:effectExtent l="0" t="0" r="2540" b="4445"/>
                  <wp:docPr id="5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
                          <pic:cNvPicPr>
                            <a:picLocks noChangeAspect="1"/>
                          </pic:cNvPicPr>
                        </pic:nvPicPr>
                        <pic:blipFill>
                          <a:blip r:embed="rId12"/>
                          <a:stretch>
                            <a:fillRect/>
                          </a:stretch>
                        </pic:blipFill>
                        <pic:spPr>
                          <a:xfrm>
                            <a:off x="0" y="0"/>
                            <a:ext cx="5229860" cy="2319655"/>
                          </a:xfrm>
                          <a:prstGeom prst="rect">
                            <a:avLst/>
                          </a:prstGeom>
                          <a:noFill/>
                          <a:ln>
                            <a:noFill/>
                          </a:ln>
                        </pic:spPr>
                      </pic:pic>
                    </a:graphicData>
                  </a:graphic>
                </wp:inline>
              </w:drawing>
            </w:r>
          </w:p>
          <w:p w14:paraId="6B36AD6D">
            <w:pPr>
              <w:pStyle w:val="80"/>
              <w:keepNext w:val="0"/>
              <w:keepLines w:val="0"/>
              <w:numPr>
                <w:ilvl w:val="0"/>
                <w:numId w:val="0"/>
              </w:numPr>
              <w:suppressLineNumbers w:val="0"/>
              <w:spacing w:before="0" w:beforeAutospacing="0" w:after="0" w:afterAutospacing="0" w:line="360" w:lineRule="auto"/>
              <w:ind w:left="0" w:right="0"/>
              <w:jc w:val="center"/>
              <w:rPr>
                <w:rFonts w:hint="default" w:ascii="Times New Roman" w:hAnsi="Times New Roman" w:eastAsia="宋体" w:cs="Times New Roman"/>
                <w:b/>
                <w:bCs/>
                <w:color w:val="auto"/>
                <w:sz w:val="21"/>
                <w:highlight w:val="none"/>
              </w:rPr>
            </w:pPr>
            <w:r>
              <w:rPr>
                <w:rFonts w:hint="default" w:ascii="Times New Roman" w:hAnsi="Times New Roman" w:eastAsia="宋体" w:cs="Times New Roman"/>
                <w:b/>
                <w:bCs/>
                <w:color w:val="auto"/>
                <w:sz w:val="21"/>
                <w:highlight w:val="none"/>
              </w:rPr>
              <w:t>图</w:t>
            </w:r>
            <w:r>
              <w:rPr>
                <w:rFonts w:hint="eastAsia" w:ascii="Times New Roman" w:cs="Times New Roman"/>
                <w:b/>
                <w:bCs/>
                <w:color w:val="auto"/>
                <w:sz w:val="21"/>
                <w:highlight w:val="none"/>
                <w:lang w:val="en-US" w:eastAsia="zh-CN"/>
              </w:rPr>
              <w:t>2-2</w:t>
            </w:r>
            <w:r>
              <w:rPr>
                <w:rFonts w:hint="default" w:ascii="Times New Roman" w:hAnsi="Times New Roman" w:eastAsia="宋体" w:cs="Times New Roman"/>
                <w:b/>
                <w:bCs/>
                <w:color w:val="auto"/>
                <w:sz w:val="21"/>
                <w:highlight w:val="none"/>
              </w:rPr>
              <w:t xml:space="preserve"> </w:t>
            </w:r>
            <w:r>
              <w:rPr>
                <w:rFonts w:hint="eastAsia" w:ascii="Times New Roman" w:cs="Times New Roman"/>
                <w:b/>
                <w:bCs/>
                <w:color w:val="auto"/>
                <w:sz w:val="21"/>
                <w:highlight w:val="none"/>
                <w:lang w:val="en-US" w:eastAsia="zh-CN"/>
              </w:rPr>
              <w:t>纸卡和彩盒</w:t>
            </w:r>
            <w:r>
              <w:rPr>
                <w:rFonts w:hint="default" w:ascii="Times New Roman" w:hAnsi="Times New Roman" w:eastAsia="宋体" w:cs="Times New Roman"/>
                <w:b/>
                <w:bCs/>
                <w:color w:val="auto"/>
                <w:sz w:val="21"/>
                <w:highlight w:val="none"/>
              </w:rPr>
              <w:t>生产工艺流程图</w:t>
            </w:r>
          </w:p>
          <w:p w14:paraId="5054AA99">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8"/>
                <w:highlight w:val="none"/>
              </w:rPr>
            </w:pPr>
            <w:r>
              <w:rPr>
                <w:rFonts w:hint="eastAsia" w:ascii="Times New Roman" w:hAnsi="Times New Roman" w:eastAsia="宋体" w:cs="Times New Roman"/>
                <w:b/>
                <w:bCs/>
                <w:color w:val="auto"/>
                <w:sz w:val="24"/>
                <w:szCs w:val="28"/>
                <w:highlight w:val="none"/>
                <w:lang w:val="en-US" w:eastAsia="zh-CN"/>
              </w:rPr>
              <w:t>工艺流程说明</w:t>
            </w:r>
            <w:r>
              <w:rPr>
                <w:rFonts w:hint="default" w:ascii="Times New Roman" w:hAnsi="Times New Roman" w:eastAsia="宋体" w:cs="Times New Roman"/>
                <w:b/>
                <w:bCs/>
                <w:color w:val="auto"/>
                <w:sz w:val="24"/>
                <w:szCs w:val="28"/>
                <w:highlight w:val="none"/>
              </w:rPr>
              <w:t>：</w:t>
            </w:r>
          </w:p>
          <w:p w14:paraId="585E0A71">
            <w:pPr>
              <w:pStyle w:val="2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175"/>
              <w:textAlignment w:val="auto"/>
              <w:rPr>
                <w:rFonts w:hint="default" w:ascii="Times New Roman" w:hAnsi="Times New Roman" w:eastAsia="宋体" w:cs="Times New Roman"/>
                <w:bCs w:val="0"/>
                <w:smallCaps w:val="0"/>
                <w:color w:val="auto"/>
                <w:kern w:val="2"/>
                <w:sz w:val="24"/>
                <w:szCs w:val="32"/>
                <w:highlight w:val="none"/>
                <w:lang w:val="en-US" w:eastAsia="zh-CN" w:bidi="ar-SA"/>
              </w:rPr>
            </w:pPr>
            <w:r>
              <w:rPr>
                <w:rFonts w:hint="default" w:ascii="Times New Roman" w:hAnsi="Times New Roman" w:eastAsia="宋体" w:cs="Times New Roman"/>
                <w:bCs w:val="0"/>
                <w:smallCaps w:val="0"/>
                <w:color w:val="auto"/>
                <w:kern w:val="2"/>
                <w:sz w:val="24"/>
                <w:szCs w:val="32"/>
                <w:highlight w:val="none"/>
                <w:lang w:val="en-US" w:eastAsia="zh-CN" w:bidi="ar-SA"/>
              </w:rPr>
              <w:t>①开料：外购原纸（白板纸、坑纸），经过砍纸机进行开料处理。</w:t>
            </w:r>
            <w:r>
              <w:rPr>
                <w:rFonts w:hint="eastAsia" w:ascii="Times New Roman" w:hAnsi="Times New Roman" w:eastAsia="宋体" w:cs="Times New Roman"/>
                <w:bCs w:val="0"/>
                <w:smallCaps w:val="0"/>
                <w:color w:val="auto"/>
                <w:kern w:val="2"/>
                <w:sz w:val="24"/>
                <w:szCs w:val="32"/>
                <w:highlight w:val="none"/>
                <w:lang w:val="en-US" w:eastAsia="zh-CN" w:bidi="ar-SA"/>
              </w:rPr>
              <w:t>该过程产生边角料，属一般工业固废。</w:t>
            </w:r>
          </w:p>
          <w:p w14:paraId="2469283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bCs w:val="0"/>
                <w:smallCaps w:val="0"/>
                <w:color w:val="auto"/>
                <w:kern w:val="2"/>
                <w:sz w:val="24"/>
                <w:szCs w:val="32"/>
                <w:highlight w:val="none"/>
                <w:lang w:val="en-US" w:eastAsia="zh-CN" w:bidi="ar-SA"/>
              </w:rPr>
              <w:t>②</w:t>
            </w:r>
            <w:r>
              <w:rPr>
                <w:rFonts w:hint="default" w:ascii="Times New Roman" w:hAnsi="Times New Roman" w:eastAsia="宋体" w:cs="Times New Roman"/>
                <w:color w:val="auto"/>
                <w:sz w:val="24"/>
                <w:szCs w:val="32"/>
                <w:highlight w:val="none"/>
                <w:lang w:val="en-US" w:eastAsia="zh-CN"/>
              </w:rPr>
              <w:t>印刷：印刷工序使用大豆油墨，根据产品图案要求，通过胶印机进行彩印，得到相应印刷图案的纸板。</w:t>
            </w:r>
            <w:r>
              <w:rPr>
                <w:rFonts w:hint="eastAsia" w:ascii="Times New Roman" w:hAnsi="Times New Roman" w:eastAsia="宋体" w:cs="Times New Roman"/>
                <w:color w:val="auto"/>
                <w:sz w:val="24"/>
                <w:szCs w:val="32"/>
                <w:highlight w:val="none"/>
                <w:lang w:val="en-US" w:eastAsia="zh-CN"/>
              </w:rPr>
              <w:t>为减少清洗剂的使用量，海德堡胶印机均安装自动清洗橡皮布装置，橡皮滚筒通过清洗剂的浸湿和滚压，将脏物和油通过清洗辊传到金属辊，最后利用刮刀将脏油回收</w:t>
            </w:r>
            <w:r>
              <w:rPr>
                <w:rFonts w:hint="default" w:ascii="Times New Roman" w:hAnsi="Times New Roman" w:eastAsia="宋体" w:cs="Times New Roman"/>
                <w:color w:val="auto"/>
                <w:sz w:val="24"/>
                <w:szCs w:val="32"/>
                <w:highlight w:val="none"/>
                <w:lang w:val="en-US" w:eastAsia="zh-CN"/>
              </w:rPr>
              <w:t>。</w:t>
            </w:r>
            <w:r>
              <w:rPr>
                <w:rFonts w:hint="eastAsia" w:ascii="Times New Roman" w:hAnsi="Times New Roman" w:eastAsia="宋体" w:cs="Times New Roman"/>
                <w:color w:val="auto"/>
                <w:sz w:val="24"/>
                <w:szCs w:val="32"/>
                <w:highlight w:val="none"/>
                <w:lang w:val="en-US" w:eastAsia="zh-CN"/>
              </w:rPr>
              <w:t>印刷前的调墨、润版、上墨、印刷、清洗、换色等工序均在印刷车间进行。该过程为本项目产污主要环节，涉及的污染物为有机废气以及恶臭气体，以及加工后产生的废油墨、清洗抹布、废清洗剂及其废包装物等。</w:t>
            </w:r>
          </w:p>
          <w:p w14:paraId="76BC12C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24"/>
                <w:highlight w:val="none"/>
                <w:lang w:val="en-US" w:eastAsia="zh-CN"/>
              </w:rPr>
              <w:t>③</w:t>
            </w:r>
            <w:r>
              <w:rPr>
                <w:rFonts w:hint="default" w:ascii="Times New Roman" w:hAnsi="Times New Roman" w:eastAsia="宋体" w:cs="Times New Roman"/>
                <w:color w:val="auto"/>
                <w:sz w:val="24"/>
                <w:szCs w:val="32"/>
                <w:highlight w:val="none"/>
                <w:lang w:val="en-US" w:eastAsia="zh-CN"/>
              </w:rPr>
              <w:t>过油：</w:t>
            </w:r>
            <w:r>
              <w:rPr>
                <w:rFonts w:hint="eastAsia" w:ascii="Times New Roman" w:hAnsi="Times New Roman" w:eastAsia="宋体" w:cs="Times New Roman"/>
                <w:color w:val="auto"/>
                <w:sz w:val="24"/>
                <w:szCs w:val="32"/>
                <w:highlight w:val="none"/>
                <w:lang w:val="en-US" w:eastAsia="zh-CN"/>
              </w:rPr>
              <w:t>也称为上光，工艺目的为使印刷品起到防水、表面高亮的效果</w:t>
            </w:r>
            <w:r>
              <w:rPr>
                <w:rFonts w:hint="default" w:ascii="Times New Roman" w:hAnsi="Times New Roman" w:eastAsia="宋体" w:cs="Times New Roman"/>
                <w:color w:val="auto"/>
                <w:sz w:val="24"/>
                <w:szCs w:val="32"/>
                <w:highlight w:val="none"/>
                <w:lang w:val="en-US" w:eastAsia="zh-CN"/>
              </w:rPr>
              <w:t>。</w:t>
            </w:r>
            <w:r>
              <w:rPr>
                <w:rFonts w:hint="eastAsia" w:ascii="Times New Roman" w:hAnsi="Times New Roman" w:eastAsia="宋体" w:cs="Times New Roman"/>
                <w:color w:val="auto"/>
                <w:sz w:val="24"/>
                <w:szCs w:val="32"/>
                <w:highlight w:val="none"/>
                <w:lang w:val="en-US" w:eastAsia="zh-CN"/>
              </w:rPr>
              <w:t>该操作在过油机操作。干燥方式为加热干燥，过油机内置加热装置（使用电能），加快水性光油的自然挥发干燥。</w:t>
            </w:r>
          </w:p>
          <w:p w14:paraId="6D718AA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④裱纸：加入淀粉胶对印刷后的纸板进行裱纸，裱纸后得到双面均有图案的纸板</w:t>
            </w:r>
            <w:r>
              <w:rPr>
                <w:rFonts w:hint="eastAsia" w:cs="Times New Roman"/>
                <w:color w:val="auto"/>
                <w:sz w:val="24"/>
                <w:szCs w:val="32"/>
                <w:highlight w:val="none"/>
                <w:lang w:val="en-US" w:eastAsia="zh-CN"/>
              </w:rPr>
              <w:t>，</w:t>
            </w:r>
            <w:r>
              <w:rPr>
                <w:rFonts w:hint="eastAsia" w:ascii="Times New Roman" w:hAnsi="Times New Roman" w:eastAsia="宋体" w:cs="Times New Roman"/>
                <w:bCs w:val="0"/>
                <w:smallCaps w:val="0"/>
                <w:color w:val="auto"/>
                <w:kern w:val="2"/>
                <w:sz w:val="24"/>
                <w:szCs w:val="32"/>
                <w:highlight w:val="none"/>
                <w:lang w:val="en-US" w:eastAsia="zh-CN" w:bidi="ar-SA"/>
              </w:rPr>
              <w:t>该过程产生</w:t>
            </w:r>
            <w:r>
              <w:rPr>
                <w:rFonts w:hint="eastAsia" w:cs="Times New Roman"/>
                <w:bCs w:val="0"/>
                <w:smallCaps w:val="0"/>
                <w:color w:val="auto"/>
                <w:kern w:val="2"/>
                <w:sz w:val="24"/>
                <w:szCs w:val="32"/>
                <w:highlight w:val="none"/>
                <w:lang w:val="en-US" w:eastAsia="zh-CN" w:bidi="ar-SA"/>
              </w:rPr>
              <w:t>淀粉胶废桶</w:t>
            </w:r>
            <w:r>
              <w:rPr>
                <w:rFonts w:hint="eastAsia" w:ascii="Times New Roman" w:hAnsi="Times New Roman" w:eastAsia="宋体" w:cs="Times New Roman"/>
                <w:bCs w:val="0"/>
                <w:smallCaps w:val="0"/>
                <w:color w:val="auto"/>
                <w:kern w:val="2"/>
                <w:sz w:val="24"/>
                <w:szCs w:val="32"/>
                <w:highlight w:val="none"/>
                <w:lang w:val="en-US" w:eastAsia="zh-CN" w:bidi="ar-SA"/>
              </w:rPr>
              <w:t>，属一般工业固废</w:t>
            </w:r>
            <w:r>
              <w:rPr>
                <w:rFonts w:hint="default" w:ascii="Times New Roman" w:hAnsi="Times New Roman" w:eastAsia="宋体" w:cs="Times New Roman"/>
                <w:color w:val="auto"/>
                <w:sz w:val="24"/>
                <w:szCs w:val="32"/>
                <w:highlight w:val="none"/>
                <w:lang w:val="en-US" w:eastAsia="zh-CN"/>
              </w:rPr>
              <w:t>。</w:t>
            </w:r>
          </w:p>
          <w:p w14:paraId="530C49B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⑤模切：根据产品需求对裱纸后的纸板通过啤机、模切机进行模切成型，得到纸卡成品、彩盒半成品。</w:t>
            </w:r>
          </w:p>
          <w:p w14:paraId="65CAD7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⑥粘盒：模切后的彩盒半成品通过自动粘盒机、</w:t>
            </w:r>
            <w:r>
              <w:rPr>
                <w:rFonts w:hint="eastAsia" w:cs="Times New Roman"/>
                <w:color w:val="auto"/>
                <w:sz w:val="24"/>
                <w:szCs w:val="32"/>
                <w:highlight w:val="none"/>
                <w:lang w:val="en-US" w:eastAsia="zh-CN"/>
              </w:rPr>
              <w:t>封口胶</w:t>
            </w:r>
            <w:r>
              <w:rPr>
                <w:rFonts w:hint="default" w:ascii="Times New Roman" w:hAnsi="Times New Roman" w:eastAsia="宋体" w:cs="Times New Roman"/>
                <w:color w:val="auto"/>
                <w:sz w:val="24"/>
                <w:szCs w:val="32"/>
                <w:highlight w:val="none"/>
                <w:lang w:val="en-US" w:eastAsia="zh-CN"/>
              </w:rPr>
              <w:t>进行粘盒，即得到彩盒成品</w:t>
            </w:r>
            <w:r>
              <w:rPr>
                <w:rFonts w:hint="eastAsia" w:cs="Times New Roman"/>
                <w:color w:val="auto"/>
                <w:sz w:val="24"/>
                <w:szCs w:val="32"/>
                <w:highlight w:val="none"/>
                <w:lang w:val="en-US" w:eastAsia="zh-CN"/>
              </w:rPr>
              <w:t>，</w:t>
            </w:r>
            <w:r>
              <w:rPr>
                <w:rFonts w:hint="eastAsia" w:ascii="Times New Roman" w:hAnsi="Times New Roman" w:eastAsia="宋体" w:cs="Times New Roman"/>
                <w:bCs w:val="0"/>
                <w:smallCaps w:val="0"/>
                <w:color w:val="auto"/>
                <w:kern w:val="2"/>
                <w:sz w:val="24"/>
                <w:szCs w:val="32"/>
                <w:highlight w:val="none"/>
                <w:lang w:val="en-US" w:eastAsia="zh-CN" w:bidi="ar-SA"/>
              </w:rPr>
              <w:t>该过程产生</w:t>
            </w:r>
            <w:r>
              <w:rPr>
                <w:rFonts w:hint="eastAsia" w:cs="Times New Roman"/>
                <w:bCs w:val="0"/>
                <w:smallCaps w:val="0"/>
                <w:color w:val="auto"/>
                <w:kern w:val="2"/>
                <w:sz w:val="24"/>
                <w:szCs w:val="32"/>
                <w:highlight w:val="none"/>
                <w:lang w:val="en-US" w:eastAsia="zh-CN" w:bidi="ar-SA"/>
              </w:rPr>
              <w:t>胶水废桶</w:t>
            </w:r>
            <w:r>
              <w:rPr>
                <w:rFonts w:hint="eastAsia" w:ascii="Times New Roman" w:hAnsi="Times New Roman" w:eastAsia="宋体" w:cs="Times New Roman"/>
                <w:bCs w:val="0"/>
                <w:smallCaps w:val="0"/>
                <w:color w:val="auto"/>
                <w:kern w:val="2"/>
                <w:sz w:val="24"/>
                <w:szCs w:val="32"/>
                <w:highlight w:val="none"/>
                <w:lang w:val="en-US" w:eastAsia="zh-CN" w:bidi="ar-SA"/>
              </w:rPr>
              <w:t>，属一般工业固废</w:t>
            </w:r>
            <w:r>
              <w:rPr>
                <w:rFonts w:hint="default" w:ascii="Times New Roman" w:hAnsi="Times New Roman" w:eastAsia="宋体" w:cs="Times New Roman"/>
                <w:color w:val="auto"/>
                <w:sz w:val="24"/>
                <w:szCs w:val="32"/>
                <w:highlight w:val="none"/>
                <w:lang w:val="en-US" w:eastAsia="zh-CN"/>
              </w:rPr>
              <w:t>。</w:t>
            </w:r>
          </w:p>
          <w:p w14:paraId="2DFC58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eastAsia"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2、产污识别</w:t>
            </w:r>
          </w:p>
          <w:p w14:paraId="4557B9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查阅《排污许可证申请与核发技术规范 印刷工业》（HJ1066-2019）表4 简化管理排污单位废气产污环节、污染物项目、排放形式及污染防治设施，结合项目自身的生产情况，项目的产污环节以及污染物如下：</w:t>
            </w:r>
          </w:p>
          <w:p w14:paraId="6C6CFA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表</w:t>
            </w:r>
            <w:r>
              <w:rPr>
                <w:rFonts w:hint="eastAsia" w:cs="Times New Roman"/>
                <w:b/>
                <w:bCs/>
                <w:color w:val="auto"/>
                <w:sz w:val="21"/>
                <w:szCs w:val="21"/>
                <w:highlight w:val="none"/>
                <w:lang w:val="en-US" w:eastAsia="zh-CN"/>
              </w:rPr>
              <w:t>2-10</w:t>
            </w:r>
            <w:r>
              <w:rPr>
                <w:rFonts w:hint="eastAsia" w:ascii="Times New Roman" w:hAnsi="Times New Roman" w:cs="Times New Roman"/>
                <w:b/>
                <w:bCs/>
                <w:color w:val="auto"/>
                <w:sz w:val="21"/>
                <w:szCs w:val="21"/>
                <w:highlight w:val="none"/>
                <w:lang w:val="en-US" w:eastAsia="zh-CN"/>
              </w:rPr>
              <w:t xml:space="preserve"> 项目产污环节一览表</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705"/>
              <w:gridCol w:w="885"/>
              <w:gridCol w:w="1965"/>
              <w:gridCol w:w="855"/>
              <w:gridCol w:w="900"/>
              <w:gridCol w:w="1866"/>
            </w:tblGrid>
            <w:tr w14:paraId="058E5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noWrap w:val="0"/>
                  <w:vAlign w:val="top"/>
                </w:tcPr>
                <w:p w14:paraId="114BB4B4">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污染种类</w:t>
                  </w:r>
                </w:p>
              </w:tc>
              <w:tc>
                <w:tcPr>
                  <w:tcW w:w="705" w:type="dxa"/>
                  <w:noWrap w:val="0"/>
                  <w:vAlign w:val="top"/>
                </w:tcPr>
                <w:p w14:paraId="6DB1D755">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生产环节</w:t>
                  </w:r>
                </w:p>
              </w:tc>
              <w:tc>
                <w:tcPr>
                  <w:tcW w:w="885" w:type="dxa"/>
                  <w:noWrap w:val="0"/>
                  <w:vAlign w:val="top"/>
                </w:tcPr>
                <w:p w14:paraId="1035A558">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产污环节</w:t>
                  </w:r>
                </w:p>
              </w:tc>
              <w:tc>
                <w:tcPr>
                  <w:tcW w:w="1965" w:type="dxa"/>
                  <w:noWrap w:val="0"/>
                  <w:vAlign w:val="top"/>
                </w:tcPr>
                <w:p w14:paraId="2C017DD3">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污染物项目</w:t>
                  </w:r>
                </w:p>
              </w:tc>
              <w:tc>
                <w:tcPr>
                  <w:tcW w:w="855" w:type="dxa"/>
                  <w:noWrap w:val="0"/>
                  <w:vAlign w:val="top"/>
                </w:tcPr>
                <w:p w14:paraId="748DD41F">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排放形式</w:t>
                  </w:r>
                </w:p>
              </w:tc>
              <w:tc>
                <w:tcPr>
                  <w:tcW w:w="900" w:type="dxa"/>
                  <w:noWrap w:val="0"/>
                  <w:vAlign w:val="top"/>
                </w:tcPr>
                <w:p w14:paraId="3AB67607">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污染源</w:t>
                  </w:r>
                </w:p>
              </w:tc>
              <w:tc>
                <w:tcPr>
                  <w:tcW w:w="1866" w:type="dxa"/>
                  <w:noWrap w:val="0"/>
                  <w:vAlign w:val="top"/>
                </w:tcPr>
                <w:p w14:paraId="1677E28E">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防治设施名称</w:t>
                  </w:r>
                </w:p>
              </w:tc>
            </w:tr>
            <w:tr w14:paraId="53D30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Merge w:val="restart"/>
                  <w:noWrap w:val="0"/>
                  <w:vAlign w:val="top"/>
                </w:tcPr>
                <w:p w14:paraId="1F8973CF">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eastAsia" w:ascii="Times New Roman" w:hAnsi="Times New Roman" w:eastAsia="宋体" w:cs="Times New Roman"/>
                      <w:b w:val="0"/>
                      <w:bCs w:val="0"/>
                      <w:color w:val="auto"/>
                      <w:sz w:val="21"/>
                      <w:szCs w:val="21"/>
                      <w:highlight w:val="none"/>
                      <w:vertAlign w:val="baseline"/>
                      <w:lang w:val="en-US" w:eastAsia="zh-CN"/>
                    </w:rPr>
                  </w:pPr>
                </w:p>
                <w:p w14:paraId="48625375">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eastAsia" w:ascii="Times New Roman" w:hAnsi="Times New Roman" w:eastAsia="宋体" w:cs="Times New Roman"/>
                      <w:b w:val="0"/>
                      <w:bCs w:val="0"/>
                      <w:color w:val="auto"/>
                      <w:sz w:val="21"/>
                      <w:szCs w:val="21"/>
                      <w:highlight w:val="none"/>
                      <w:vertAlign w:val="baseline"/>
                      <w:lang w:val="en-US" w:eastAsia="zh-CN"/>
                    </w:rPr>
                  </w:pPr>
                </w:p>
                <w:p w14:paraId="1A02B85C">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eastAsia" w:ascii="Times New Roman" w:hAnsi="Times New Roman" w:eastAsia="宋体" w:cs="Times New Roman"/>
                      <w:b w:val="0"/>
                      <w:bCs w:val="0"/>
                      <w:color w:val="auto"/>
                      <w:sz w:val="21"/>
                      <w:szCs w:val="21"/>
                      <w:highlight w:val="none"/>
                      <w:vertAlign w:val="baseline"/>
                      <w:lang w:val="en-US" w:eastAsia="zh-CN"/>
                    </w:rPr>
                  </w:pPr>
                </w:p>
                <w:p w14:paraId="13FD83AC">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eastAsia" w:ascii="Times New Roman" w:hAnsi="Times New Roman" w:eastAsia="宋体" w:cs="Times New Roman"/>
                      <w:b w:val="0"/>
                      <w:bCs w:val="0"/>
                      <w:color w:val="auto"/>
                      <w:sz w:val="21"/>
                      <w:szCs w:val="21"/>
                      <w:highlight w:val="none"/>
                      <w:vertAlign w:val="baseline"/>
                      <w:lang w:val="en-US" w:eastAsia="zh-CN"/>
                    </w:rPr>
                  </w:pPr>
                </w:p>
                <w:p w14:paraId="3374D717">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eastAsia" w:ascii="Times New Roman" w:hAnsi="Times New Roman" w:eastAsia="宋体" w:cs="Times New Roman"/>
                      <w:b w:val="0"/>
                      <w:bCs w:val="0"/>
                      <w:color w:val="auto"/>
                      <w:sz w:val="21"/>
                      <w:szCs w:val="21"/>
                      <w:highlight w:val="none"/>
                      <w:vertAlign w:val="baseline"/>
                      <w:lang w:val="en-US" w:eastAsia="zh-CN"/>
                    </w:rPr>
                  </w:pPr>
                </w:p>
                <w:p w14:paraId="4E5210A6">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eastAsia" w:ascii="Times New Roman" w:hAnsi="Times New Roman" w:eastAsia="宋体" w:cs="Times New Roman"/>
                      <w:b w:val="0"/>
                      <w:bCs w:val="0"/>
                      <w:color w:val="auto"/>
                      <w:sz w:val="21"/>
                      <w:szCs w:val="21"/>
                      <w:highlight w:val="none"/>
                      <w:vertAlign w:val="baseline"/>
                      <w:lang w:val="en-US" w:eastAsia="zh-CN"/>
                    </w:rPr>
                  </w:pPr>
                </w:p>
                <w:p w14:paraId="73D719FF">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废气</w:t>
                  </w:r>
                </w:p>
              </w:tc>
              <w:tc>
                <w:tcPr>
                  <w:tcW w:w="705" w:type="dxa"/>
                  <w:noWrap w:val="0"/>
                  <w:vAlign w:val="center"/>
                </w:tcPr>
                <w:p w14:paraId="3E68A6A3">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调墨</w:t>
                  </w:r>
                </w:p>
              </w:tc>
              <w:tc>
                <w:tcPr>
                  <w:tcW w:w="885" w:type="dxa"/>
                  <w:noWrap w:val="0"/>
                  <w:vAlign w:val="center"/>
                </w:tcPr>
                <w:p w14:paraId="7BA6F092">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油墨</w:t>
                  </w:r>
                </w:p>
                <w:p w14:paraId="54869520">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废气</w:t>
                  </w:r>
                </w:p>
              </w:tc>
              <w:tc>
                <w:tcPr>
                  <w:tcW w:w="1965" w:type="dxa"/>
                  <w:noWrap w:val="0"/>
                  <w:vAlign w:val="center"/>
                </w:tcPr>
                <w:p w14:paraId="10C19E2D">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非甲烷总烃、VOCs、臭气浓度</w:t>
                  </w:r>
                </w:p>
              </w:tc>
              <w:tc>
                <w:tcPr>
                  <w:tcW w:w="855" w:type="dxa"/>
                  <w:noWrap w:val="0"/>
                  <w:vAlign w:val="center"/>
                </w:tcPr>
                <w:p w14:paraId="10A27B71">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有组织</w:t>
                  </w:r>
                </w:p>
              </w:tc>
              <w:tc>
                <w:tcPr>
                  <w:tcW w:w="900" w:type="dxa"/>
                  <w:noWrap w:val="0"/>
                  <w:vAlign w:val="center"/>
                </w:tcPr>
                <w:p w14:paraId="7F114319">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胶印机</w:t>
                  </w:r>
                </w:p>
              </w:tc>
              <w:tc>
                <w:tcPr>
                  <w:tcW w:w="1866" w:type="dxa"/>
                  <w:vMerge w:val="restart"/>
                  <w:noWrap w:val="0"/>
                  <w:vAlign w:val="center"/>
                </w:tcPr>
                <w:p w14:paraId="149465D5">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印刷车间</w:t>
                  </w:r>
                  <w:r>
                    <w:rPr>
                      <w:rFonts w:hint="eastAsia" w:cs="Times New Roman"/>
                      <w:b w:val="0"/>
                      <w:bCs w:val="0"/>
                      <w:color w:val="auto"/>
                      <w:sz w:val="21"/>
                      <w:szCs w:val="21"/>
                      <w:highlight w:val="none"/>
                      <w:vertAlign w:val="baseline"/>
                      <w:lang w:val="en-US" w:eastAsia="zh-CN"/>
                    </w:rPr>
                    <w:t>集气罩</w:t>
                  </w:r>
                  <w:r>
                    <w:rPr>
                      <w:rFonts w:hint="eastAsia" w:ascii="Times New Roman" w:hAnsi="Times New Roman" w:eastAsia="宋体" w:cs="Times New Roman"/>
                      <w:b w:val="0"/>
                      <w:bCs w:val="0"/>
                      <w:color w:val="auto"/>
                      <w:sz w:val="21"/>
                      <w:szCs w:val="21"/>
                      <w:highlight w:val="none"/>
                      <w:vertAlign w:val="baseline"/>
                      <w:lang w:val="en-US" w:eastAsia="zh-CN"/>
                    </w:rPr>
                    <w:t>收集，</w:t>
                  </w:r>
                  <w:r>
                    <w:rPr>
                      <w:rFonts w:hint="eastAsia" w:cs="Times New Roman"/>
                      <w:b w:val="0"/>
                      <w:bCs w:val="0"/>
                      <w:color w:val="auto"/>
                      <w:sz w:val="21"/>
                      <w:szCs w:val="21"/>
                      <w:highlight w:val="none"/>
                      <w:vertAlign w:val="baseline"/>
                      <w:lang w:val="en-US" w:eastAsia="zh-CN"/>
                    </w:rPr>
                    <w:t>两级活性炭</w:t>
                  </w:r>
                  <w:r>
                    <w:rPr>
                      <w:rFonts w:hint="eastAsia" w:ascii="Times New Roman" w:hAnsi="Times New Roman" w:eastAsia="宋体" w:cs="Times New Roman"/>
                      <w:b w:val="0"/>
                      <w:bCs w:val="0"/>
                      <w:color w:val="auto"/>
                      <w:sz w:val="21"/>
                      <w:szCs w:val="21"/>
                      <w:highlight w:val="none"/>
                      <w:vertAlign w:val="baseline"/>
                      <w:lang w:val="en-US" w:eastAsia="zh-CN"/>
                    </w:rPr>
                    <w:t>处理工艺处理后经</w:t>
                  </w:r>
                  <w:r>
                    <w:rPr>
                      <w:rFonts w:hint="eastAsia" w:cs="Times New Roman"/>
                      <w:b w:val="0"/>
                      <w:bCs w:val="0"/>
                      <w:color w:val="auto"/>
                      <w:sz w:val="21"/>
                      <w:szCs w:val="21"/>
                      <w:highlight w:val="none"/>
                      <w:vertAlign w:val="baseline"/>
                      <w:lang w:val="en-US" w:eastAsia="zh-CN"/>
                    </w:rPr>
                    <w:t>15</w:t>
                  </w:r>
                  <w:r>
                    <w:rPr>
                      <w:rFonts w:hint="eastAsia" w:ascii="Times New Roman" w:hAnsi="Times New Roman" w:eastAsia="宋体" w:cs="Times New Roman"/>
                      <w:b w:val="0"/>
                      <w:bCs w:val="0"/>
                      <w:color w:val="auto"/>
                      <w:sz w:val="21"/>
                      <w:szCs w:val="21"/>
                      <w:highlight w:val="none"/>
                      <w:vertAlign w:val="baseline"/>
                      <w:lang w:val="en-US" w:eastAsia="zh-CN"/>
                    </w:rPr>
                    <w:t>米排气筒排放。</w:t>
                  </w:r>
                </w:p>
              </w:tc>
            </w:tr>
            <w:tr w14:paraId="129B2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Merge w:val="continue"/>
                  <w:noWrap w:val="0"/>
                  <w:vAlign w:val="top"/>
                </w:tcPr>
                <w:p w14:paraId="12FD6F86">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705" w:type="dxa"/>
                  <w:noWrap w:val="0"/>
                  <w:vAlign w:val="center"/>
                </w:tcPr>
                <w:p w14:paraId="5FF97BB7">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润版</w:t>
                  </w:r>
                </w:p>
              </w:tc>
              <w:tc>
                <w:tcPr>
                  <w:tcW w:w="885" w:type="dxa"/>
                  <w:noWrap w:val="0"/>
                  <w:vAlign w:val="center"/>
                </w:tcPr>
                <w:p w14:paraId="405CEEB1">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润版液废气</w:t>
                  </w:r>
                </w:p>
              </w:tc>
              <w:tc>
                <w:tcPr>
                  <w:tcW w:w="1965" w:type="dxa"/>
                  <w:noWrap w:val="0"/>
                  <w:vAlign w:val="center"/>
                </w:tcPr>
                <w:p w14:paraId="28CA9A0E">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rPr>
                  </w:pPr>
                  <w:r>
                    <w:rPr>
                      <w:rFonts w:hint="eastAsia" w:ascii="Times New Roman" w:hAnsi="Times New Roman" w:eastAsia="宋体" w:cs="Times New Roman"/>
                      <w:b w:val="0"/>
                      <w:bCs w:val="0"/>
                      <w:color w:val="auto"/>
                      <w:sz w:val="21"/>
                      <w:szCs w:val="21"/>
                      <w:highlight w:val="none"/>
                      <w:vertAlign w:val="baseline"/>
                      <w:lang w:val="en-US" w:eastAsia="zh-CN"/>
                    </w:rPr>
                    <w:t>非甲烷总烃、VOCs、臭气浓度</w:t>
                  </w:r>
                </w:p>
              </w:tc>
              <w:tc>
                <w:tcPr>
                  <w:tcW w:w="855" w:type="dxa"/>
                  <w:noWrap w:val="0"/>
                  <w:vAlign w:val="center"/>
                </w:tcPr>
                <w:p w14:paraId="24246283">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rPr>
                  </w:pPr>
                  <w:r>
                    <w:rPr>
                      <w:rFonts w:hint="eastAsia" w:ascii="Times New Roman" w:hAnsi="Times New Roman" w:eastAsia="宋体" w:cs="Times New Roman"/>
                      <w:b w:val="0"/>
                      <w:bCs w:val="0"/>
                      <w:color w:val="auto"/>
                      <w:sz w:val="21"/>
                      <w:szCs w:val="21"/>
                      <w:highlight w:val="none"/>
                      <w:vertAlign w:val="baseline"/>
                      <w:lang w:val="en-US" w:eastAsia="zh-CN"/>
                    </w:rPr>
                    <w:t>有组织</w:t>
                  </w:r>
                </w:p>
              </w:tc>
              <w:tc>
                <w:tcPr>
                  <w:tcW w:w="900" w:type="dxa"/>
                  <w:noWrap w:val="0"/>
                  <w:vAlign w:val="center"/>
                </w:tcPr>
                <w:p w14:paraId="2A2CACE0">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rPr>
                  </w:pPr>
                  <w:r>
                    <w:rPr>
                      <w:rFonts w:hint="eastAsia" w:ascii="Times New Roman" w:hAnsi="Times New Roman" w:eastAsia="宋体" w:cs="Times New Roman"/>
                      <w:b w:val="0"/>
                      <w:bCs w:val="0"/>
                      <w:color w:val="auto"/>
                      <w:sz w:val="21"/>
                      <w:szCs w:val="21"/>
                      <w:highlight w:val="none"/>
                      <w:vertAlign w:val="baseline"/>
                      <w:lang w:val="en-US" w:eastAsia="zh-CN"/>
                    </w:rPr>
                    <w:t>胶印机</w:t>
                  </w:r>
                </w:p>
              </w:tc>
              <w:tc>
                <w:tcPr>
                  <w:tcW w:w="1866" w:type="dxa"/>
                  <w:vMerge w:val="continue"/>
                  <w:noWrap w:val="0"/>
                  <w:vAlign w:val="top"/>
                </w:tcPr>
                <w:p w14:paraId="610931D3">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vertAlign w:val="baseline"/>
                    </w:rPr>
                  </w:pPr>
                </w:p>
              </w:tc>
            </w:tr>
            <w:tr w14:paraId="14991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Merge w:val="continue"/>
                  <w:noWrap w:val="0"/>
                  <w:vAlign w:val="top"/>
                </w:tcPr>
                <w:p w14:paraId="6995CCA5">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705" w:type="dxa"/>
                  <w:noWrap w:val="0"/>
                  <w:vAlign w:val="center"/>
                </w:tcPr>
                <w:p w14:paraId="0283B62A">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印刷</w:t>
                  </w:r>
                </w:p>
              </w:tc>
              <w:tc>
                <w:tcPr>
                  <w:tcW w:w="885" w:type="dxa"/>
                  <w:noWrap w:val="0"/>
                  <w:vAlign w:val="center"/>
                </w:tcPr>
                <w:p w14:paraId="7E116742">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油墨</w:t>
                  </w:r>
                </w:p>
                <w:p w14:paraId="6BB6A63E">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废气</w:t>
                  </w:r>
                </w:p>
              </w:tc>
              <w:tc>
                <w:tcPr>
                  <w:tcW w:w="1965" w:type="dxa"/>
                  <w:noWrap w:val="0"/>
                  <w:vAlign w:val="center"/>
                </w:tcPr>
                <w:p w14:paraId="50D7D542">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rPr>
                  </w:pPr>
                  <w:r>
                    <w:rPr>
                      <w:rFonts w:hint="eastAsia" w:ascii="Times New Roman" w:hAnsi="Times New Roman" w:eastAsia="宋体" w:cs="Times New Roman"/>
                      <w:b w:val="0"/>
                      <w:bCs w:val="0"/>
                      <w:color w:val="auto"/>
                      <w:sz w:val="21"/>
                      <w:szCs w:val="21"/>
                      <w:highlight w:val="none"/>
                      <w:vertAlign w:val="baseline"/>
                      <w:lang w:val="en-US" w:eastAsia="zh-CN"/>
                    </w:rPr>
                    <w:t>非甲烷总烃、VOCs、臭气浓度</w:t>
                  </w:r>
                </w:p>
              </w:tc>
              <w:tc>
                <w:tcPr>
                  <w:tcW w:w="855" w:type="dxa"/>
                  <w:noWrap w:val="0"/>
                  <w:vAlign w:val="center"/>
                </w:tcPr>
                <w:p w14:paraId="00396403">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rPr>
                  </w:pPr>
                  <w:r>
                    <w:rPr>
                      <w:rFonts w:hint="eastAsia" w:ascii="Times New Roman" w:hAnsi="Times New Roman" w:eastAsia="宋体" w:cs="Times New Roman"/>
                      <w:b w:val="0"/>
                      <w:bCs w:val="0"/>
                      <w:color w:val="auto"/>
                      <w:sz w:val="21"/>
                      <w:szCs w:val="21"/>
                      <w:highlight w:val="none"/>
                      <w:vertAlign w:val="baseline"/>
                      <w:lang w:val="en-US" w:eastAsia="zh-CN"/>
                    </w:rPr>
                    <w:t>有组织</w:t>
                  </w:r>
                </w:p>
              </w:tc>
              <w:tc>
                <w:tcPr>
                  <w:tcW w:w="900" w:type="dxa"/>
                  <w:noWrap w:val="0"/>
                  <w:vAlign w:val="center"/>
                </w:tcPr>
                <w:p w14:paraId="36D09C0B">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rPr>
                  </w:pPr>
                  <w:r>
                    <w:rPr>
                      <w:rFonts w:hint="eastAsia" w:ascii="Times New Roman" w:hAnsi="Times New Roman" w:eastAsia="宋体" w:cs="Times New Roman"/>
                      <w:b w:val="0"/>
                      <w:bCs w:val="0"/>
                      <w:color w:val="auto"/>
                      <w:sz w:val="21"/>
                      <w:szCs w:val="21"/>
                      <w:highlight w:val="none"/>
                      <w:vertAlign w:val="baseline"/>
                      <w:lang w:val="en-US" w:eastAsia="zh-CN"/>
                    </w:rPr>
                    <w:t>胶印机印刷机</w:t>
                  </w:r>
                </w:p>
              </w:tc>
              <w:tc>
                <w:tcPr>
                  <w:tcW w:w="1866" w:type="dxa"/>
                  <w:vMerge w:val="continue"/>
                  <w:noWrap w:val="0"/>
                  <w:vAlign w:val="top"/>
                </w:tcPr>
                <w:p w14:paraId="500AB821">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vertAlign w:val="baseline"/>
                    </w:rPr>
                  </w:pPr>
                </w:p>
              </w:tc>
            </w:tr>
            <w:tr w14:paraId="311BC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Merge w:val="continue"/>
                  <w:noWrap w:val="0"/>
                  <w:vAlign w:val="top"/>
                </w:tcPr>
                <w:p w14:paraId="58216E85">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705" w:type="dxa"/>
                  <w:noWrap w:val="0"/>
                  <w:vAlign w:val="center"/>
                </w:tcPr>
                <w:p w14:paraId="4335CD0B">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洗车</w:t>
                  </w:r>
                </w:p>
              </w:tc>
              <w:tc>
                <w:tcPr>
                  <w:tcW w:w="885" w:type="dxa"/>
                  <w:noWrap w:val="0"/>
                  <w:vAlign w:val="center"/>
                </w:tcPr>
                <w:p w14:paraId="499EBDE6">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清洁剂废气</w:t>
                  </w:r>
                </w:p>
              </w:tc>
              <w:tc>
                <w:tcPr>
                  <w:tcW w:w="1965" w:type="dxa"/>
                  <w:noWrap w:val="0"/>
                  <w:vAlign w:val="center"/>
                </w:tcPr>
                <w:p w14:paraId="6233C37C">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rPr>
                  </w:pPr>
                  <w:r>
                    <w:rPr>
                      <w:rFonts w:hint="eastAsia" w:ascii="Times New Roman" w:hAnsi="Times New Roman" w:eastAsia="宋体" w:cs="Times New Roman"/>
                      <w:b w:val="0"/>
                      <w:bCs w:val="0"/>
                      <w:color w:val="auto"/>
                      <w:sz w:val="21"/>
                      <w:szCs w:val="21"/>
                      <w:highlight w:val="none"/>
                      <w:vertAlign w:val="baseline"/>
                      <w:lang w:val="en-US" w:eastAsia="zh-CN"/>
                    </w:rPr>
                    <w:t>非甲烷总烃、VOCs、臭气浓度</w:t>
                  </w:r>
                </w:p>
              </w:tc>
              <w:tc>
                <w:tcPr>
                  <w:tcW w:w="855" w:type="dxa"/>
                  <w:noWrap w:val="0"/>
                  <w:vAlign w:val="center"/>
                </w:tcPr>
                <w:p w14:paraId="5C55506A">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rPr>
                  </w:pPr>
                  <w:r>
                    <w:rPr>
                      <w:rFonts w:hint="eastAsia" w:ascii="Times New Roman" w:hAnsi="Times New Roman" w:eastAsia="宋体" w:cs="Times New Roman"/>
                      <w:b w:val="0"/>
                      <w:bCs w:val="0"/>
                      <w:color w:val="auto"/>
                      <w:sz w:val="21"/>
                      <w:szCs w:val="21"/>
                      <w:highlight w:val="none"/>
                      <w:vertAlign w:val="baseline"/>
                      <w:lang w:val="en-US" w:eastAsia="zh-CN"/>
                    </w:rPr>
                    <w:t>有组织</w:t>
                  </w:r>
                </w:p>
              </w:tc>
              <w:tc>
                <w:tcPr>
                  <w:tcW w:w="900" w:type="dxa"/>
                  <w:noWrap w:val="0"/>
                  <w:vAlign w:val="center"/>
                </w:tcPr>
                <w:p w14:paraId="2A3F6521">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rPr>
                  </w:pPr>
                  <w:r>
                    <w:rPr>
                      <w:rFonts w:hint="eastAsia" w:ascii="Times New Roman" w:hAnsi="Times New Roman" w:eastAsia="宋体" w:cs="Times New Roman"/>
                      <w:b w:val="0"/>
                      <w:bCs w:val="0"/>
                      <w:color w:val="auto"/>
                      <w:sz w:val="21"/>
                      <w:szCs w:val="21"/>
                      <w:highlight w:val="none"/>
                      <w:vertAlign w:val="baseline"/>
                      <w:lang w:val="en-US" w:eastAsia="zh-CN"/>
                    </w:rPr>
                    <w:t>胶印机</w:t>
                  </w:r>
                </w:p>
              </w:tc>
              <w:tc>
                <w:tcPr>
                  <w:tcW w:w="1866" w:type="dxa"/>
                  <w:vMerge w:val="continue"/>
                  <w:noWrap w:val="0"/>
                  <w:vAlign w:val="top"/>
                </w:tcPr>
                <w:p w14:paraId="2E2A05E3">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vertAlign w:val="baseline"/>
                    </w:rPr>
                  </w:pPr>
                </w:p>
              </w:tc>
            </w:tr>
            <w:tr w14:paraId="4C5EE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Merge w:val="continue"/>
                  <w:noWrap w:val="0"/>
                  <w:vAlign w:val="top"/>
                </w:tcPr>
                <w:p w14:paraId="4C8CE12B">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705" w:type="dxa"/>
                  <w:noWrap w:val="0"/>
                  <w:vAlign w:val="center"/>
                </w:tcPr>
                <w:p w14:paraId="42FBE1C6">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过油</w:t>
                  </w:r>
                </w:p>
              </w:tc>
              <w:tc>
                <w:tcPr>
                  <w:tcW w:w="885" w:type="dxa"/>
                  <w:noWrap w:val="0"/>
                  <w:vAlign w:val="center"/>
                </w:tcPr>
                <w:p w14:paraId="6565A88E">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过油</w:t>
                  </w:r>
                </w:p>
                <w:p w14:paraId="1A41AD1D">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废气</w:t>
                  </w:r>
                </w:p>
              </w:tc>
              <w:tc>
                <w:tcPr>
                  <w:tcW w:w="1965" w:type="dxa"/>
                  <w:noWrap w:val="0"/>
                  <w:vAlign w:val="center"/>
                </w:tcPr>
                <w:p w14:paraId="2D96585F">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rPr>
                  </w:pPr>
                  <w:r>
                    <w:rPr>
                      <w:rFonts w:hint="eastAsia" w:ascii="Times New Roman" w:hAnsi="Times New Roman" w:eastAsia="宋体" w:cs="Times New Roman"/>
                      <w:b w:val="0"/>
                      <w:bCs w:val="0"/>
                      <w:color w:val="auto"/>
                      <w:sz w:val="21"/>
                      <w:szCs w:val="21"/>
                      <w:highlight w:val="none"/>
                      <w:vertAlign w:val="baseline"/>
                      <w:lang w:val="en-US" w:eastAsia="zh-CN"/>
                    </w:rPr>
                    <w:t>非甲烷总烃、VOCs、臭气浓度</w:t>
                  </w:r>
                </w:p>
              </w:tc>
              <w:tc>
                <w:tcPr>
                  <w:tcW w:w="855" w:type="dxa"/>
                  <w:noWrap w:val="0"/>
                  <w:vAlign w:val="center"/>
                </w:tcPr>
                <w:p w14:paraId="3D8B6885">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rPr>
                  </w:pPr>
                  <w:r>
                    <w:rPr>
                      <w:rFonts w:hint="eastAsia" w:ascii="Times New Roman" w:hAnsi="Times New Roman" w:eastAsia="宋体" w:cs="Times New Roman"/>
                      <w:b w:val="0"/>
                      <w:bCs w:val="0"/>
                      <w:color w:val="auto"/>
                      <w:sz w:val="21"/>
                      <w:szCs w:val="21"/>
                      <w:highlight w:val="none"/>
                      <w:vertAlign w:val="baseline"/>
                      <w:lang w:val="en-US" w:eastAsia="zh-CN"/>
                    </w:rPr>
                    <w:t>有组织</w:t>
                  </w:r>
                </w:p>
              </w:tc>
              <w:tc>
                <w:tcPr>
                  <w:tcW w:w="900" w:type="dxa"/>
                  <w:noWrap w:val="0"/>
                  <w:vAlign w:val="center"/>
                </w:tcPr>
                <w:p w14:paraId="6323CDCE">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过油机</w:t>
                  </w:r>
                </w:p>
              </w:tc>
              <w:tc>
                <w:tcPr>
                  <w:tcW w:w="1866" w:type="dxa"/>
                  <w:noWrap w:val="0"/>
                  <w:vAlign w:val="top"/>
                </w:tcPr>
                <w:p w14:paraId="1AF29EC0">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集气罩收集+</w:t>
                  </w:r>
                  <w:r>
                    <w:rPr>
                      <w:rFonts w:hint="eastAsia" w:cs="Times New Roman"/>
                      <w:b w:val="0"/>
                      <w:bCs w:val="0"/>
                      <w:color w:val="auto"/>
                      <w:sz w:val="21"/>
                      <w:szCs w:val="21"/>
                      <w:highlight w:val="none"/>
                      <w:vertAlign w:val="baseline"/>
                      <w:lang w:val="en-US" w:eastAsia="zh-CN"/>
                    </w:rPr>
                    <w:t>两级活性炭</w:t>
                  </w:r>
                  <w:r>
                    <w:rPr>
                      <w:rFonts w:hint="eastAsia" w:ascii="Times New Roman" w:hAnsi="Times New Roman" w:eastAsia="宋体" w:cs="Times New Roman"/>
                      <w:b w:val="0"/>
                      <w:bCs w:val="0"/>
                      <w:color w:val="auto"/>
                      <w:sz w:val="21"/>
                      <w:szCs w:val="21"/>
                      <w:highlight w:val="none"/>
                      <w:vertAlign w:val="baseline"/>
                      <w:lang w:val="en-US" w:eastAsia="zh-CN"/>
                    </w:rPr>
                    <w:t>。一般排放口DA001</w:t>
                  </w:r>
                </w:p>
              </w:tc>
            </w:tr>
            <w:tr w14:paraId="47B2A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696" w:type="dxa"/>
                  <w:vMerge w:val="continue"/>
                  <w:noWrap w:val="0"/>
                  <w:vAlign w:val="top"/>
                </w:tcPr>
                <w:p w14:paraId="58FAFA4B">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705" w:type="dxa"/>
                  <w:shd w:val="clear" w:color="auto" w:fill="auto"/>
                  <w:noWrap w:val="0"/>
                  <w:vAlign w:val="center"/>
                </w:tcPr>
                <w:p w14:paraId="21AEF204">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sz w:val="21"/>
                      <w:szCs w:val="21"/>
                      <w:highlight w:val="none"/>
                      <w:vertAlign w:val="baseline"/>
                      <w:lang w:val="en-US" w:eastAsia="zh-CN"/>
                    </w:rPr>
                    <w:t>胶黏剂使用</w:t>
                  </w:r>
                </w:p>
              </w:tc>
              <w:tc>
                <w:tcPr>
                  <w:tcW w:w="885" w:type="dxa"/>
                  <w:shd w:val="clear" w:color="auto" w:fill="auto"/>
                  <w:noWrap w:val="0"/>
                  <w:vAlign w:val="center"/>
                </w:tcPr>
                <w:p w14:paraId="0D6216D1">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sz w:val="21"/>
                      <w:szCs w:val="21"/>
                      <w:highlight w:val="none"/>
                      <w:vertAlign w:val="baseline"/>
                      <w:lang w:val="en-US" w:eastAsia="zh-CN"/>
                    </w:rPr>
                    <w:t>胶黏剂废气</w:t>
                  </w:r>
                </w:p>
              </w:tc>
              <w:tc>
                <w:tcPr>
                  <w:tcW w:w="1965" w:type="dxa"/>
                  <w:shd w:val="clear" w:color="auto" w:fill="auto"/>
                  <w:noWrap w:val="0"/>
                  <w:vAlign w:val="center"/>
                </w:tcPr>
                <w:p w14:paraId="44754741">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sz w:val="21"/>
                      <w:szCs w:val="21"/>
                      <w:highlight w:val="none"/>
                      <w:vertAlign w:val="baseline"/>
                      <w:lang w:val="en-US" w:eastAsia="zh-CN"/>
                    </w:rPr>
                    <w:t>非甲烷总烃、VOCs、臭气浓度</w:t>
                  </w:r>
                </w:p>
              </w:tc>
              <w:tc>
                <w:tcPr>
                  <w:tcW w:w="855" w:type="dxa"/>
                  <w:shd w:val="clear" w:color="auto" w:fill="auto"/>
                  <w:noWrap w:val="0"/>
                  <w:vAlign w:val="center"/>
                </w:tcPr>
                <w:p w14:paraId="34C89DDD">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leftChars="0" w:right="0" w:rightChars="0"/>
                    <w:jc w:val="center"/>
                    <w:textAlignment w:val="auto"/>
                    <w:rPr>
                      <w:rFonts w:hint="eastAsia"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sz w:val="21"/>
                      <w:szCs w:val="21"/>
                      <w:highlight w:val="none"/>
                      <w:vertAlign w:val="baseline"/>
                      <w:lang w:val="en-US" w:eastAsia="zh-CN"/>
                    </w:rPr>
                    <w:t>无组织</w:t>
                  </w:r>
                </w:p>
              </w:tc>
              <w:tc>
                <w:tcPr>
                  <w:tcW w:w="900" w:type="dxa"/>
                  <w:shd w:val="clear" w:color="auto" w:fill="auto"/>
                  <w:noWrap w:val="0"/>
                  <w:vAlign w:val="center"/>
                </w:tcPr>
                <w:p w14:paraId="40BF66BD">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leftChars="0" w:right="0" w:rightChars="0"/>
                    <w:jc w:val="center"/>
                    <w:textAlignment w:val="auto"/>
                    <w:rPr>
                      <w:rFonts w:hint="eastAsia"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sz w:val="21"/>
                      <w:szCs w:val="21"/>
                      <w:highlight w:val="none"/>
                      <w:vertAlign w:val="baseline"/>
                      <w:lang w:val="en-US" w:eastAsia="zh-CN"/>
                    </w:rPr>
                    <w:t>糊盒机</w:t>
                  </w:r>
                </w:p>
              </w:tc>
              <w:tc>
                <w:tcPr>
                  <w:tcW w:w="1866" w:type="dxa"/>
                  <w:noWrap w:val="0"/>
                  <w:vAlign w:val="center"/>
                </w:tcPr>
                <w:p w14:paraId="04CB88EF">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车间通风</w:t>
                  </w:r>
                </w:p>
              </w:tc>
            </w:tr>
            <w:tr w14:paraId="06071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Merge w:val="restart"/>
                  <w:noWrap w:val="0"/>
                  <w:vAlign w:val="top"/>
                </w:tcPr>
                <w:p w14:paraId="2956E15A">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废水</w:t>
                  </w:r>
                </w:p>
              </w:tc>
              <w:tc>
                <w:tcPr>
                  <w:tcW w:w="705" w:type="dxa"/>
                  <w:noWrap w:val="0"/>
                  <w:vAlign w:val="center"/>
                </w:tcPr>
                <w:p w14:paraId="464B5EFD">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印刷</w:t>
                  </w:r>
                </w:p>
              </w:tc>
              <w:tc>
                <w:tcPr>
                  <w:tcW w:w="885" w:type="dxa"/>
                  <w:noWrap w:val="0"/>
                  <w:vAlign w:val="center"/>
                </w:tcPr>
                <w:p w14:paraId="024F4805">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清洗印刷机</w:t>
                  </w:r>
                </w:p>
              </w:tc>
              <w:tc>
                <w:tcPr>
                  <w:tcW w:w="1965" w:type="dxa"/>
                  <w:noWrap w:val="0"/>
                  <w:vAlign w:val="center"/>
                </w:tcPr>
                <w:p w14:paraId="6E413022">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含废水抹布</w:t>
                  </w:r>
                </w:p>
              </w:tc>
              <w:tc>
                <w:tcPr>
                  <w:tcW w:w="855" w:type="dxa"/>
                  <w:noWrap w:val="0"/>
                  <w:vAlign w:val="center"/>
                </w:tcPr>
                <w:p w14:paraId="0A675DA1">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不外排</w:t>
                  </w:r>
                </w:p>
              </w:tc>
              <w:tc>
                <w:tcPr>
                  <w:tcW w:w="900" w:type="dxa"/>
                  <w:noWrap w:val="0"/>
                  <w:vAlign w:val="center"/>
                </w:tcPr>
                <w:p w14:paraId="1E567147">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印刷机</w:t>
                  </w:r>
                </w:p>
              </w:tc>
              <w:tc>
                <w:tcPr>
                  <w:tcW w:w="1866" w:type="dxa"/>
                  <w:noWrap w:val="0"/>
                  <w:vAlign w:val="top"/>
                </w:tcPr>
                <w:p w14:paraId="242A0DA7">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收集至危废桶，委托资质单位处理。</w:t>
                  </w:r>
                </w:p>
              </w:tc>
            </w:tr>
            <w:tr w14:paraId="40565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Merge w:val="continue"/>
                  <w:noWrap w:val="0"/>
                  <w:vAlign w:val="top"/>
                </w:tcPr>
                <w:p w14:paraId="2F62EED2">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590" w:type="dxa"/>
                  <w:gridSpan w:val="2"/>
                  <w:noWrap w:val="0"/>
                  <w:vAlign w:val="center"/>
                </w:tcPr>
                <w:p w14:paraId="29367858">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员工办公</w:t>
                  </w:r>
                </w:p>
              </w:tc>
              <w:tc>
                <w:tcPr>
                  <w:tcW w:w="1965" w:type="dxa"/>
                  <w:noWrap w:val="0"/>
                  <w:vAlign w:val="center"/>
                </w:tcPr>
                <w:p w14:paraId="7B6B8602">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pH值、悬浮物、化学需氧量、五日生化需氧量、氨氮、总磷</w:t>
                  </w:r>
                </w:p>
              </w:tc>
              <w:tc>
                <w:tcPr>
                  <w:tcW w:w="855" w:type="dxa"/>
                  <w:noWrap w:val="0"/>
                  <w:vAlign w:val="center"/>
                </w:tcPr>
                <w:p w14:paraId="4D2CD984">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间接排放</w:t>
                  </w:r>
                </w:p>
              </w:tc>
              <w:tc>
                <w:tcPr>
                  <w:tcW w:w="900" w:type="dxa"/>
                  <w:noWrap w:val="0"/>
                  <w:vAlign w:val="center"/>
                </w:tcPr>
                <w:p w14:paraId="3AF24B73">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一般排放口DW001</w:t>
                  </w:r>
                </w:p>
              </w:tc>
              <w:tc>
                <w:tcPr>
                  <w:tcW w:w="1866" w:type="dxa"/>
                  <w:noWrap w:val="0"/>
                  <w:vAlign w:val="center"/>
                </w:tcPr>
                <w:p w14:paraId="39B11B56">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化粪池处理后进</w:t>
                  </w:r>
                  <w:r>
                    <w:rPr>
                      <w:rFonts w:hint="eastAsia" w:cs="Times New Roman"/>
                      <w:b w:val="0"/>
                      <w:bCs w:val="0"/>
                      <w:color w:val="auto"/>
                      <w:sz w:val="21"/>
                      <w:szCs w:val="21"/>
                      <w:highlight w:val="none"/>
                      <w:vertAlign w:val="baseline"/>
                      <w:lang w:val="en-US" w:eastAsia="zh-CN"/>
                    </w:rPr>
                    <w:t>市政污水管网</w:t>
                  </w:r>
                  <w:r>
                    <w:rPr>
                      <w:rFonts w:hint="eastAsia" w:ascii="Times New Roman" w:hAnsi="Times New Roman" w:eastAsia="宋体" w:cs="Times New Roman"/>
                      <w:b w:val="0"/>
                      <w:bCs w:val="0"/>
                      <w:color w:val="auto"/>
                      <w:sz w:val="21"/>
                      <w:szCs w:val="21"/>
                      <w:highlight w:val="none"/>
                      <w:vertAlign w:val="baseline"/>
                      <w:lang w:val="en-US" w:eastAsia="zh-CN"/>
                    </w:rPr>
                    <w:t>。</w:t>
                  </w:r>
                </w:p>
              </w:tc>
            </w:tr>
            <w:tr w14:paraId="0DE0F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noWrap w:val="0"/>
                  <w:vAlign w:val="center"/>
                </w:tcPr>
                <w:p w14:paraId="15430648">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噪声</w:t>
                  </w:r>
                </w:p>
              </w:tc>
              <w:tc>
                <w:tcPr>
                  <w:tcW w:w="1590" w:type="dxa"/>
                  <w:gridSpan w:val="2"/>
                  <w:noWrap w:val="0"/>
                  <w:vAlign w:val="center"/>
                </w:tcPr>
                <w:p w14:paraId="3B9D9921">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印刷生产</w:t>
                  </w:r>
                </w:p>
              </w:tc>
              <w:tc>
                <w:tcPr>
                  <w:tcW w:w="1965" w:type="dxa"/>
                  <w:noWrap w:val="0"/>
                  <w:vAlign w:val="center"/>
                </w:tcPr>
                <w:p w14:paraId="1273C898">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工业噪声</w:t>
                  </w:r>
                </w:p>
              </w:tc>
              <w:tc>
                <w:tcPr>
                  <w:tcW w:w="855" w:type="dxa"/>
                  <w:noWrap w:val="0"/>
                  <w:vAlign w:val="center"/>
                </w:tcPr>
                <w:p w14:paraId="04BF57D9">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频发噪声</w:t>
                  </w:r>
                </w:p>
              </w:tc>
              <w:tc>
                <w:tcPr>
                  <w:tcW w:w="900" w:type="dxa"/>
                  <w:noWrap w:val="0"/>
                  <w:vAlign w:val="center"/>
                </w:tcPr>
                <w:p w14:paraId="5D792570">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胶印机印刷机砍纸机横切机开槽机打包机过油机分切机</w:t>
                  </w:r>
                </w:p>
              </w:tc>
              <w:tc>
                <w:tcPr>
                  <w:tcW w:w="1866" w:type="dxa"/>
                  <w:noWrap w:val="0"/>
                  <w:vAlign w:val="center"/>
                </w:tcPr>
                <w:p w14:paraId="7853DB91">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合理车间布局、厂房隔音、基础减振</w:t>
                  </w:r>
                </w:p>
              </w:tc>
            </w:tr>
            <w:tr w14:paraId="349A3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Merge w:val="restart"/>
                  <w:noWrap w:val="0"/>
                  <w:vAlign w:val="center"/>
                </w:tcPr>
                <w:p w14:paraId="067DD534">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固废</w:t>
                  </w:r>
                </w:p>
              </w:tc>
              <w:tc>
                <w:tcPr>
                  <w:tcW w:w="1590" w:type="dxa"/>
                  <w:gridSpan w:val="2"/>
                  <w:vMerge w:val="restart"/>
                  <w:noWrap w:val="0"/>
                  <w:vAlign w:val="center"/>
                </w:tcPr>
                <w:p w14:paraId="13980B36">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印刷生产</w:t>
                  </w:r>
                </w:p>
              </w:tc>
              <w:tc>
                <w:tcPr>
                  <w:tcW w:w="1965" w:type="dxa"/>
                  <w:noWrap w:val="0"/>
                  <w:vAlign w:val="center"/>
                </w:tcPr>
                <w:p w14:paraId="6A12D997">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废包装物（油墨、</w:t>
                  </w:r>
                  <w:r>
                    <w:rPr>
                      <w:rFonts w:hint="eastAsia" w:cs="Times New Roman"/>
                      <w:b w:val="0"/>
                      <w:bCs w:val="0"/>
                      <w:color w:val="auto"/>
                      <w:sz w:val="21"/>
                      <w:szCs w:val="21"/>
                      <w:highlight w:val="none"/>
                      <w:vertAlign w:val="baseline"/>
                      <w:lang w:val="en-US" w:eastAsia="zh-CN"/>
                    </w:rPr>
                    <w:t>封口胶</w:t>
                  </w:r>
                  <w:r>
                    <w:rPr>
                      <w:rFonts w:hint="eastAsia" w:ascii="Times New Roman" w:hAnsi="Times New Roman" w:eastAsia="宋体" w:cs="Times New Roman"/>
                      <w:b w:val="0"/>
                      <w:bCs w:val="0"/>
                      <w:color w:val="auto"/>
                      <w:sz w:val="21"/>
                      <w:szCs w:val="21"/>
                      <w:highlight w:val="none"/>
                      <w:vertAlign w:val="baseline"/>
                      <w:lang w:val="en-US" w:eastAsia="zh-CN"/>
                    </w:rPr>
                    <w:t>、清洗剂</w:t>
                  </w:r>
                  <w:r>
                    <w:rPr>
                      <w:rFonts w:hint="eastAsia" w:cs="Times New Roman"/>
                      <w:b w:val="0"/>
                      <w:bCs w:val="0"/>
                      <w:color w:val="auto"/>
                      <w:sz w:val="21"/>
                      <w:szCs w:val="21"/>
                      <w:highlight w:val="none"/>
                      <w:vertAlign w:val="baseline"/>
                      <w:lang w:val="en-US" w:eastAsia="zh-CN"/>
                    </w:rPr>
                    <w:t>、天那水</w:t>
                  </w:r>
                  <w:r>
                    <w:rPr>
                      <w:rFonts w:hint="eastAsia" w:ascii="Times New Roman" w:hAnsi="Times New Roman" w:eastAsia="宋体" w:cs="Times New Roman"/>
                      <w:b w:val="0"/>
                      <w:bCs w:val="0"/>
                      <w:color w:val="auto"/>
                      <w:sz w:val="21"/>
                      <w:szCs w:val="21"/>
                      <w:highlight w:val="none"/>
                      <w:vertAlign w:val="baseline"/>
                      <w:lang w:val="en-US" w:eastAsia="zh-CN"/>
                    </w:rPr>
                    <w:t>等废弃容器）</w:t>
                  </w:r>
                </w:p>
              </w:tc>
              <w:tc>
                <w:tcPr>
                  <w:tcW w:w="855" w:type="dxa"/>
                  <w:noWrap w:val="0"/>
                  <w:vAlign w:val="center"/>
                </w:tcPr>
                <w:p w14:paraId="327118FD">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w:t>
                  </w:r>
                </w:p>
              </w:tc>
              <w:tc>
                <w:tcPr>
                  <w:tcW w:w="900" w:type="dxa"/>
                  <w:vMerge w:val="restart"/>
                  <w:noWrap w:val="0"/>
                  <w:vAlign w:val="center"/>
                </w:tcPr>
                <w:p w14:paraId="0E41EE9B">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印刷车间</w:t>
                  </w:r>
                </w:p>
              </w:tc>
              <w:tc>
                <w:tcPr>
                  <w:tcW w:w="1866" w:type="dxa"/>
                  <w:noWrap w:val="0"/>
                  <w:vAlign w:val="center"/>
                </w:tcPr>
                <w:p w14:paraId="320FE640">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危废间+委托资质单位处理</w:t>
                  </w:r>
                </w:p>
              </w:tc>
            </w:tr>
            <w:tr w14:paraId="5D79C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Merge w:val="continue"/>
                  <w:noWrap w:val="0"/>
                  <w:vAlign w:val="center"/>
                </w:tcPr>
                <w:p w14:paraId="066498D5">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590" w:type="dxa"/>
                  <w:gridSpan w:val="2"/>
                  <w:vMerge w:val="continue"/>
                  <w:noWrap w:val="0"/>
                  <w:vAlign w:val="center"/>
                </w:tcPr>
                <w:p w14:paraId="05513329">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965" w:type="dxa"/>
                  <w:noWrap w:val="0"/>
                  <w:vAlign w:val="center"/>
                </w:tcPr>
                <w:p w14:paraId="66D37660">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含油墨废抹布，废橡胶抹布</w:t>
                  </w:r>
                </w:p>
              </w:tc>
              <w:tc>
                <w:tcPr>
                  <w:tcW w:w="855" w:type="dxa"/>
                  <w:noWrap w:val="0"/>
                  <w:vAlign w:val="center"/>
                </w:tcPr>
                <w:p w14:paraId="11BE2C54">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w:t>
                  </w:r>
                </w:p>
              </w:tc>
              <w:tc>
                <w:tcPr>
                  <w:tcW w:w="900" w:type="dxa"/>
                  <w:vMerge w:val="continue"/>
                  <w:noWrap w:val="0"/>
                  <w:vAlign w:val="center"/>
                </w:tcPr>
                <w:p w14:paraId="0763C179">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866" w:type="dxa"/>
                  <w:noWrap w:val="0"/>
                  <w:vAlign w:val="center"/>
                </w:tcPr>
                <w:p w14:paraId="053F35C8">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危废间+委托资质单位处理</w:t>
                  </w:r>
                </w:p>
              </w:tc>
            </w:tr>
            <w:tr w14:paraId="20AD1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Merge w:val="continue"/>
                  <w:noWrap w:val="0"/>
                  <w:vAlign w:val="center"/>
                </w:tcPr>
                <w:p w14:paraId="7F011035">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废</w:t>
                  </w:r>
                </w:p>
              </w:tc>
              <w:tc>
                <w:tcPr>
                  <w:tcW w:w="1590" w:type="dxa"/>
                  <w:gridSpan w:val="2"/>
                  <w:vMerge w:val="continue"/>
                  <w:noWrap w:val="0"/>
                  <w:vAlign w:val="center"/>
                </w:tcPr>
                <w:p w14:paraId="7AC6E5BC">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965" w:type="dxa"/>
                  <w:noWrap w:val="0"/>
                  <w:vAlign w:val="center"/>
                </w:tcPr>
                <w:p w14:paraId="4A135E7E">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清洗废水</w:t>
                  </w:r>
                </w:p>
              </w:tc>
              <w:tc>
                <w:tcPr>
                  <w:tcW w:w="855" w:type="dxa"/>
                  <w:noWrap w:val="0"/>
                  <w:vAlign w:val="center"/>
                </w:tcPr>
                <w:p w14:paraId="3DF2961A">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w:t>
                  </w:r>
                </w:p>
              </w:tc>
              <w:tc>
                <w:tcPr>
                  <w:tcW w:w="900" w:type="dxa"/>
                  <w:vMerge w:val="continue"/>
                  <w:noWrap w:val="0"/>
                  <w:vAlign w:val="center"/>
                </w:tcPr>
                <w:p w14:paraId="37EC4957">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866" w:type="dxa"/>
                  <w:noWrap w:val="0"/>
                  <w:vAlign w:val="center"/>
                </w:tcPr>
                <w:p w14:paraId="7C02E297">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危废间+委托资质单位处理</w:t>
                  </w:r>
                </w:p>
              </w:tc>
            </w:tr>
            <w:tr w14:paraId="1782C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Merge w:val="continue"/>
                  <w:noWrap w:val="0"/>
                  <w:vAlign w:val="center"/>
                </w:tcPr>
                <w:p w14:paraId="76BCD9C1">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590" w:type="dxa"/>
                  <w:gridSpan w:val="2"/>
                  <w:vMerge w:val="continue"/>
                  <w:noWrap w:val="0"/>
                  <w:vAlign w:val="center"/>
                </w:tcPr>
                <w:p w14:paraId="1CBF94E8">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965" w:type="dxa"/>
                  <w:noWrap w:val="0"/>
                  <w:vAlign w:val="center"/>
                </w:tcPr>
                <w:p w14:paraId="42DF8DD9">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废油墨渣</w:t>
                  </w:r>
                </w:p>
              </w:tc>
              <w:tc>
                <w:tcPr>
                  <w:tcW w:w="855" w:type="dxa"/>
                  <w:noWrap w:val="0"/>
                  <w:vAlign w:val="center"/>
                </w:tcPr>
                <w:p w14:paraId="1BA62D40">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w:t>
                  </w:r>
                </w:p>
              </w:tc>
              <w:tc>
                <w:tcPr>
                  <w:tcW w:w="900" w:type="dxa"/>
                  <w:vMerge w:val="continue"/>
                  <w:noWrap w:val="0"/>
                  <w:vAlign w:val="center"/>
                </w:tcPr>
                <w:p w14:paraId="4E070D4A">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866" w:type="dxa"/>
                  <w:noWrap w:val="0"/>
                  <w:vAlign w:val="center"/>
                </w:tcPr>
                <w:p w14:paraId="08492D55">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危废间+委托资质单位处理</w:t>
                  </w:r>
                </w:p>
              </w:tc>
            </w:tr>
            <w:tr w14:paraId="2F82A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696" w:type="dxa"/>
                  <w:vMerge w:val="continue"/>
                  <w:noWrap w:val="0"/>
                  <w:vAlign w:val="center"/>
                </w:tcPr>
                <w:p w14:paraId="06EFD3A5">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590" w:type="dxa"/>
                  <w:gridSpan w:val="2"/>
                  <w:vMerge w:val="continue"/>
                  <w:noWrap w:val="0"/>
                  <w:vAlign w:val="center"/>
                </w:tcPr>
                <w:p w14:paraId="02A5B621">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965" w:type="dxa"/>
                  <w:noWrap w:val="0"/>
                  <w:vAlign w:val="center"/>
                </w:tcPr>
                <w:p w14:paraId="076C3663">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废PS版</w:t>
                  </w:r>
                </w:p>
              </w:tc>
              <w:tc>
                <w:tcPr>
                  <w:tcW w:w="855" w:type="dxa"/>
                  <w:noWrap w:val="0"/>
                  <w:vAlign w:val="center"/>
                </w:tcPr>
                <w:p w14:paraId="13C30559">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w:t>
                  </w:r>
                </w:p>
              </w:tc>
              <w:tc>
                <w:tcPr>
                  <w:tcW w:w="900" w:type="dxa"/>
                  <w:vMerge w:val="continue"/>
                  <w:noWrap w:val="0"/>
                  <w:vAlign w:val="center"/>
                </w:tcPr>
                <w:p w14:paraId="2A6F8895">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866" w:type="dxa"/>
                  <w:noWrap w:val="0"/>
                  <w:vAlign w:val="center"/>
                </w:tcPr>
                <w:p w14:paraId="6C4FF3BD">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危废间+委托资质单位处理</w:t>
                  </w:r>
                </w:p>
              </w:tc>
            </w:tr>
            <w:tr w14:paraId="7ED8E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Merge w:val="continue"/>
                  <w:noWrap w:val="0"/>
                  <w:vAlign w:val="center"/>
                </w:tcPr>
                <w:p w14:paraId="2A881C4C">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590" w:type="dxa"/>
                  <w:gridSpan w:val="2"/>
                  <w:vMerge w:val="continue"/>
                  <w:noWrap w:val="0"/>
                  <w:vAlign w:val="center"/>
                </w:tcPr>
                <w:p w14:paraId="6A758951">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965" w:type="dxa"/>
                  <w:noWrap w:val="0"/>
                  <w:vAlign w:val="center"/>
                </w:tcPr>
                <w:p w14:paraId="601CAE16">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废机油</w:t>
                  </w:r>
                </w:p>
              </w:tc>
              <w:tc>
                <w:tcPr>
                  <w:tcW w:w="855" w:type="dxa"/>
                  <w:noWrap w:val="0"/>
                  <w:vAlign w:val="center"/>
                </w:tcPr>
                <w:p w14:paraId="12AAE677">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w:t>
                  </w:r>
                </w:p>
              </w:tc>
              <w:tc>
                <w:tcPr>
                  <w:tcW w:w="900" w:type="dxa"/>
                  <w:noWrap w:val="0"/>
                  <w:vAlign w:val="center"/>
                </w:tcPr>
                <w:p w14:paraId="469331CC">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生产车间</w:t>
                  </w:r>
                </w:p>
              </w:tc>
              <w:tc>
                <w:tcPr>
                  <w:tcW w:w="1866" w:type="dxa"/>
                  <w:noWrap w:val="0"/>
                  <w:vAlign w:val="center"/>
                </w:tcPr>
                <w:p w14:paraId="3F4DC416">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危废间+委托资质单位处理</w:t>
                  </w:r>
                </w:p>
              </w:tc>
            </w:tr>
            <w:tr w14:paraId="350B7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Merge w:val="continue"/>
                  <w:noWrap w:val="0"/>
                  <w:vAlign w:val="center"/>
                </w:tcPr>
                <w:p w14:paraId="07306F8C">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590" w:type="dxa"/>
                  <w:gridSpan w:val="2"/>
                  <w:vMerge w:val="continue"/>
                  <w:noWrap w:val="0"/>
                  <w:vAlign w:val="center"/>
                </w:tcPr>
                <w:p w14:paraId="33BA65E7">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965" w:type="dxa"/>
                  <w:noWrap w:val="0"/>
                  <w:vAlign w:val="center"/>
                </w:tcPr>
                <w:p w14:paraId="6971A2D9">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废活性炭</w:t>
                  </w:r>
                </w:p>
              </w:tc>
              <w:tc>
                <w:tcPr>
                  <w:tcW w:w="855" w:type="dxa"/>
                  <w:noWrap w:val="0"/>
                  <w:vAlign w:val="center"/>
                </w:tcPr>
                <w:p w14:paraId="35F7E56C">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w:t>
                  </w:r>
                </w:p>
              </w:tc>
              <w:tc>
                <w:tcPr>
                  <w:tcW w:w="900" w:type="dxa"/>
                  <w:noWrap w:val="0"/>
                  <w:vAlign w:val="center"/>
                </w:tcPr>
                <w:p w14:paraId="7F409A66">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废气设施</w:t>
                  </w:r>
                </w:p>
              </w:tc>
              <w:tc>
                <w:tcPr>
                  <w:tcW w:w="1866" w:type="dxa"/>
                  <w:noWrap w:val="0"/>
                  <w:vAlign w:val="center"/>
                </w:tcPr>
                <w:p w14:paraId="7A7627D5">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危废间+委托资质单位处理</w:t>
                  </w:r>
                </w:p>
              </w:tc>
            </w:tr>
            <w:tr w14:paraId="5231E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Merge w:val="continue"/>
                  <w:noWrap w:val="0"/>
                  <w:vAlign w:val="center"/>
                </w:tcPr>
                <w:p w14:paraId="45166591">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590" w:type="dxa"/>
                  <w:gridSpan w:val="2"/>
                  <w:vMerge w:val="continue"/>
                  <w:noWrap w:val="0"/>
                  <w:vAlign w:val="center"/>
                </w:tcPr>
                <w:p w14:paraId="18D0452B">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965" w:type="dxa"/>
                  <w:noWrap w:val="0"/>
                  <w:vAlign w:val="center"/>
                </w:tcPr>
                <w:p w14:paraId="50BBB4D0">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边角料</w:t>
                  </w:r>
                </w:p>
              </w:tc>
              <w:tc>
                <w:tcPr>
                  <w:tcW w:w="855" w:type="dxa"/>
                  <w:noWrap w:val="0"/>
                  <w:vAlign w:val="center"/>
                </w:tcPr>
                <w:p w14:paraId="65D7067E">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w:t>
                  </w:r>
                </w:p>
              </w:tc>
              <w:tc>
                <w:tcPr>
                  <w:tcW w:w="900" w:type="dxa"/>
                  <w:noWrap w:val="0"/>
                  <w:vAlign w:val="center"/>
                </w:tcPr>
                <w:p w14:paraId="50891928">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砍纸机</w:t>
                  </w:r>
                </w:p>
              </w:tc>
              <w:tc>
                <w:tcPr>
                  <w:tcW w:w="1866" w:type="dxa"/>
                  <w:noWrap w:val="0"/>
                  <w:vAlign w:val="center"/>
                </w:tcPr>
                <w:p w14:paraId="598A1D90">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一般固废间</w:t>
                  </w:r>
                </w:p>
              </w:tc>
            </w:tr>
          </w:tbl>
          <w:p w14:paraId="108FE8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Times New Roman" w:hAnsi="Times New Roman" w:eastAsia="宋体" w:cs="Times New Roman"/>
                <w:color w:val="auto"/>
                <w:highlight w:val="none"/>
              </w:rPr>
            </w:pPr>
          </w:p>
        </w:tc>
      </w:tr>
      <w:tr w14:paraId="588B22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43" w:hRule="atLeast"/>
          <w:jc w:val="center"/>
        </w:trPr>
        <w:tc>
          <w:tcPr>
            <w:tcW w:w="520" w:type="dxa"/>
            <w:noWrap w:val="0"/>
            <w:vAlign w:val="center"/>
          </w:tcPr>
          <w:p w14:paraId="228107C6">
            <w:pPr>
              <w:pStyle w:val="28"/>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Cs/>
                <w:color w:val="auto"/>
                <w:kern w:val="2"/>
                <w:sz w:val="21"/>
                <w:szCs w:val="21"/>
                <w:highlight w:val="none"/>
                <w:lang w:val="en-US" w:eastAsia="zh-CN"/>
              </w:rPr>
              <w:t>与项目有关的原有环境污染问题</w:t>
            </w:r>
          </w:p>
        </w:tc>
        <w:tc>
          <w:tcPr>
            <w:tcW w:w="8464" w:type="dxa"/>
            <w:noWrap w:val="0"/>
            <w:vAlign w:val="top"/>
          </w:tcPr>
          <w:p w14:paraId="24AE1E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    </w:t>
            </w:r>
          </w:p>
          <w:p w14:paraId="1F0550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本项目位于</w:t>
            </w:r>
            <w:r>
              <w:rPr>
                <w:rFonts w:hint="eastAsia" w:cs="Times New Roman"/>
                <w:color w:val="auto"/>
                <w:highlight w:val="none"/>
                <w:lang w:val="en-US" w:eastAsia="zh-CN"/>
              </w:rPr>
              <w:t>阳江市阳东区北惯镇金田六路西边及霍达七路南边BN-01-12a</w:t>
            </w:r>
            <w:r>
              <w:rPr>
                <w:rFonts w:hint="default" w:ascii="Times New Roman" w:hAnsi="Times New Roman" w:eastAsia="宋体" w:cs="Times New Roman"/>
                <w:color w:val="auto"/>
                <w:highlight w:val="none"/>
                <w:lang w:val="en-US" w:eastAsia="zh-CN"/>
              </w:rPr>
              <w:t>，本项目为新建项目，无原有的环境污染问题，本项目所在区域的主要环境问题是项目周边其他工厂运营过程中产生的废水、废气、噪声、固废等，临近道路产生的汽车尾气、道路扬尘和汽车噪声。</w:t>
            </w:r>
          </w:p>
        </w:tc>
      </w:tr>
    </w:tbl>
    <w:p w14:paraId="1DA67E11">
      <w:pPr>
        <w:pStyle w:val="28"/>
        <w:jc w:val="center"/>
        <w:rPr>
          <w:rFonts w:hint="default" w:ascii="Times New Roman" w:hAnsi="Times New Roman" w:eastAsia="宋体" w:cs="Times New Roman"/>
          <w:snapToGrid w:val="0"/>
          <w:color w:val="auto"/>
          <w:sz w:val="36"/>
          <w:szCs w:val="36"/>
          <w:highlight w:val="none"/>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1D9C0C4F">
      <w:pPr>
        <w:pStyle w:val="28"/>
        <w:adjustRightInd w:val="0"/>
        <w:snapToGrid w:val="0"/>
        <w:spacing w:before="0" w:beforeAutospacing="0" w:after="0" w:afterAutospacing="0" w:line="14" w:lineRule="auto"/>
        <w:jc w:val="center"/>
        <w:outlineLvl w:val="0"/>
        <w:rPr>
          <w:rFonts w:hint="default" w:ascii="Times New Roman" w:hAnsi="Times New Roman" w:eastAsia="宋体" w:cs="Times New Roman"/>
          <w:snapToGrid w:val="0"/>
          <w:color w:val="auto"/>
          <w:sz w:val="30"/>
          <w:szCs w:val="30"/>
          <w:highlight w:val="none"/>
        </w:rPr>
      </w:pPr>
    </w:p>
    <w:p w14:paraId="602844F7">
      <w:pPr>
        <w:pStyle w:val="28"/>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auto"/>
          <w:sz w:val="30"/>
          <w:szCs w:val="30"/>
          <w:highlight w:val="none"/>
        </w:rPr>
      </w:pPr>
      <w:r>
        <w:rPr>
          <w:rFonts w:hint="default" w:ascii="Times New Roman" w:hAnsi="Times New Roman" w:eastAsia="宋体" w:cs="Times New Roman"/>
          <w:b/>
          <w:bCs/>
          <w:snapToGrid w:val="0"/>
          <w:color w:val="auto"/>
          <w:sz w:val="30"/>
          <w:szCs w:val="30"/>
          <w:highlight w:val="none"/>
        </w:rPr>
        <w:t>三、区域环境质量现状、环境保护目标及评价标准</w:t>
      </w:r>
    </w:p>
    <w:tbl>
      <w:tblPr>
        <w:tblStyle w:val="3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25"/>
        <w:gridCol w:w="8465"/>
      </w:tblGrid>
      <w:tr w14:paraId="7D64BF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093" w:hRule="atLeast"/>
          <w:jc w:val="center"/>
        </w:trPr>
        <w:tc>
          <w:tcPr>
            <w:tcW w:w="525" w:type="dxa"/>
            <w:noWrap w:val="0"/>
            <w:vAlign w:val="center"/>
          </w:tcPr>
          <w:p w14:paraId="6B07CF9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区域</w:t>
            </w:r>
          </w:p>
          <w:p w14:paraId="52F07C0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环境</w:t>
            </w:r>
          </w:p>
          <w:p w14:paraId="1A72E87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质量</w:t>
            </w:r>
          </w:p>
          <w:p w14:paraId="7B06968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现状</w:t>
            </w:r>
          </w:p>
        </w:tc>
        <w:tc>
          <w:tcPr>
            <w:tcW w:w="8465" w:type="dxa"/>
            <w:noWrap w:val="0"/>
            <w:vAlign w:val="center"/>
          </w:tcPr>
          <w:p w14:paraId="6DAABB83">
            <w:pPr>
              <w:keepNext w:val="0"/>
              <w:keepLines w:val="0"/>
              <w:suppressLineNumbers w:val="0"/>
              <w:adjustRightInd w:val="0"/>
              <w:snapToGrid w:val="0"/>
              <w:spacing w:before="120" w:beforeLines="50" w:beforeAutospacing="0" w:after="0" w:afterAutospacing="0" w:line="360" w:lineRule="auto"/>
              <w:ind w:left="0" w:right="0" w:firstLine="482" w:firstLineChars="200"/>
              <w:rPr>
                <w:rFonts w:hint="default" w:ascii="Times New Roman" w:hAnsi="Times New Roman" w:eastAsia="宋体" w:cs="Times New Roman"/>
                <w:b/>
                <w:bCs/>
                <w:color w:val="auto"/>
                <w:sz w:val="24"/>
                <w:szCs w:val="32"/>
                <w:highlight w:val="none"/>
              </w:rPr>
            </w:pPr>
            <w:r>
              <w:rPr>
                <w:rFonts w:hint="default" w:ascii="Times New Roman" w:hAnsi="Times New Roman" w:eastAsia="宋体" w:cs="Times New Roman"/>
                <w:b/>
                <w:bCs/>
                <w:color w:val="auto"/>
                <w:sz w:val="24"/>
                <w:szCs w:val="32"/>
                <w:highlight w:val="none"/>
              </w:rPr>
              <w:t>（一）环境空气质量现状</w:t>
            </w:r>
          </w:p>
          <w:p w14:paraId="32BC9F4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项目位于</w:t>
            </w:r>
            <w:r>
              <w:rPr>
                <w:rFonts w:hint="default" w:ascii="Times New Roman" w:hAnsi="Times New Roman" w:cs="Times New Roman"/>
                <w:color w:val="auto"/>
                <w:sz w:val="24"/>
                <w:highlight w:val="none"/>
                <w:lang w:eastAsia="zh-CN"/>
              </w:rPr>
              <w:t>阳江市阳东区北惯镇金田六路西边及霍达七路南边BN-01-12a，</w:t>
            </w:r>
            <w:r>
              <w:rPr>
                <w:rFonts w:hint="default" w:ascii="Times New Roman" w:hAnsi="Times New Roman" w:cs="Times New Roman"/>
                <w:color w:val="auto"/>
                <w:sz w:val="24"/>
                <w:highlight w:val="none"/>
                <w:lang w:val="en-US" w:eastAsia="zh-CN"/>
              </w:rPr>
              <w:t>属于工业区，结合</w:t>
            </w:r>
            <w:r>
              <w:rPr>
                <w:rFonts w:hint="default" w:ascii="Times New Roman" w:hAnsi="Times New Roman" w:cs="Times New Roman"/>
                <w:color w:val="auto"/>
                <w:sz w:val="24"/>
                <w:highlight w:val="none"/>
              </w:rPr>
              <w:t>阳江市</w:t>
            </w:r>
            <w:r>
              <w:rPr>
                <w:rFonts w:hint="default" w:ascii="Times New Roman" w:hAnsi="Times New Roman" w:cs="Times New Roman"/>
                <w:color w:val="auto"/>
                <w:sz w:val="24"/>
                <w:highlight w:val="none"/>
                <w:lang w:val="en-US" w:eastAsia="zh-CN"/>
              </w:rPr>
              <w:t>大气</w:t>
            </w:r>
            <w:r>
              <w:rPr>
                <w:rFonts w:hint="default" w:ascii="Times New Roman" w:hAnsi="Times New Roman" w:cs="Times New Roman"/>
                <w:color w:val="auto"/>
                <w:sz w:val="24"/>
                <w:highlight w:val="none"/>
              </w:rPr>
              <w:t>环境</w:t>
            </w:r>
            <w:r>
              <w:rPr>
                <w:rFonts w:hint="default" w:ascii="Times New Roman" w:hAnsi="Times New Roman" w:cs="Times New Roman"/>
                <w:color w:val="auto"/>
                <w:sz w:val="24"/>
                <w:highlight w:val="none"/>
                <w:lang w:val="en-US" w:eastAsia="zh-CN"/>
              </w:rPr>
              <w:t>功能分区图分析</w:t>
            </w:r>
            <w:r>
              <w:rPr>
                <w:rFonts w:hint="default" w:ascii="Times New Roman" w:hAnsi="Times New Roman" w:cs="Times New Roman"/>
                <w:color w:val="auto"/>
                <w:sz w:val="24"/>
                <w:highlight w:val="none"/>
              </w:rPr>
              <w:t>，</w:t>
            </w:r>
            <w:r>
              <w:rPr>
                <w:rFonts w:hint="default" w:ascii="Times New Roman" w:hAnsi="Times New Roman" w:cs="Times New Roman"/>
                <w:color w:val="auto"/>
                <w:kern w:val="0"/>
                <w:sz w:val="24"/>
                <w:highlight w:val="none"/>
              </w:rPr>
              <w:t>本项目</w:t>
            </w:r>
            <w:r>
              <w:rPr>
                <w:rFonts w:hint="default" w:ascii="Times New Roman" w:hAnsi="Times New Roman" w:cs="Times New Roman"/>
                <w:color w:val="auto"/>
                <w:sz w:val="24"/>
                <w:highlight w:val="none"/>
              </w:rPr>
              <w:t>所在区域属于环境空气二类区</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szCs w:val="24"/>
                <w:highlight w:val="none"/>
              </w:rPr>
              <w:t>二氧化硫、二氧化氮、可吸入颗粒物（PM</w:t>
            </w:r>
            <w:r>
              <w:rPr>
                <w:rFonts w:hint="default" w:ascii="Times New Roman" w:hAnsi="Times New Roman" w:eastAsia="宋体" w:cs="Times New Roman"/>
                <w:color w:val="auto"/>
                <w:sz w:val="24"/>
                <w:szCs w:val="24"/>
                <w:highlight w:val="none"/>
                <w:vertAlign w:val="subscript"/>
              </w:rPr>
              <w:t>10</w:t>
            </w:r>
            <w:r>
              <w:rPr>
                <w:rFonts w:hint="default" w:ascii="Times New Roman" w:hAnsi="Times New Roman" w:eastAsia="宋体" w:cs="Times New Roman"/>
                <w:color w:val="auto"/>
                <w:sz w:val="24"/>
                <w:szCs w:val="24"/>
                <w:highlight w:val="none"/>
              </w:rPr>
              <w:t>）、一氧化碳、臭氧、细颗粒物（PM</w:t>
            </w:r>
            <w:r>
              <w:rPr>
                <w:rFonts w:hint="default" w:ascii="Times New Roman" w:hAnsi="Times New Roman" w:eastAsia="宋体" w:cs="Times New Roman"/>
                <w:color w:val="auto"/>
                <w:sz w:val="24"/>
                <w:szCs w:val="24"/>
                <w:highlight w:val="none"/>
                <w:vertAlign w:val="subscript"/>
              </w:rPr>
              <w:t>2.5</w:t>
            </w:r>
            <w:r>
              <w:rPr>
                <w:rFonts w:hint="default" w:ascii="Times New Roman" w:hAnsi="Times New Roman" w:eastAsia="宋体" w:cs="Times New Roman"/>
                <w:color w:val="auto"/>
                <w:sz w:val="24"/>
                <w:szCs w:val="24"/>
                <w:highlight w:val="none"/>
              </w:rPr>
              <w:t>）6个基本污染物</w:t>
            </w:r>
            <w:r>
              <w:rPr>
                <w:rFonts w:hint="default" w:ascii="Times New Roman" w:hAnsi="Times New Roman" w:cs="Times New Roman"/>
                <w:color w:val="auto"/>
                <w:sz w:val="24"/>
                <w:highlight w:val="none"/>
              </w:rPr>
              <w:t>应执行</w:t>
            </w:r>
            <w:r>
              <w:rPr>
                <w:rFonts w:hint="default" w:ascii="Times New Roman" w:hAnsi="Times New Roman" w:cs="Times New Roman"/>
                <w:color w:val="auto"/>
                <w:sz w:val="24"/>
                <w:highlight w:val="none"/>
                <w:lang w:eastAsia="zh-CN"/>
              </w:rPr>
              <w:t>《环境空气质量标准》（GB 3095—2026）过渡阶段浓度限值二级标准</w:t>
            </w:r>
            <w:r>
              <w:rPr>
                <w:rFonts w:hint="default" w:ascii="Times New Roman" w:hAnsi="Times New Roman" w:cs="Times New Roman"/>
                <w:color w:val="auto"/>
                <w:sz w:val="24"/>
                <w:highlight w:val="none"/>
              </w:rPr>
              <w:t>。</w:t>
            </w:r>
          </w:p>
          <w:p w14:paraId="0E917883">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sz w:val="24"/>
                <w:szCs w:val="24"/>
                <w:highlight w:val="none"/>
              </w:rPr>
              <w:t>根据《环境影响评价技术导则 大气环境》</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HJ2.2-2018)6.2.1.1</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项目所在区域达标判定，优先采用国家或地方生态环境主管部门公开发布的评价基准年环境质量公告或环境质量报告中的数据或结论</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，因此本项目大气环境质量现状达标判定，采用广东省空气质量监测管理与发布系统中</w:t>
            </w:r>
            <w:r>
              <w:rPr>
                <w:rFonts w:hint="eastAsia" w:ascii="Times New Roman" w:hAnsi="Times New Roman" w:cs="Times New Roman"/>
                <w:b w:val="0"/>
                <w:bCs w:val="0"/>
                <w:color w:val="auto"/>
                <w:kern w:val="0"/>
                <w:sz w:val="24"/>
                <w:szCs w:val="24"/>
                <w:highlight w:val="none"/>
                <w:lang w:val="en-US" w:eastAsia="zh-CN"/>
              </w:rPr>
              <w:t>《2024年阳江市生态环境质量状况公报》</w:t>
            </w:r>
            <w:r>
              <w:rPr>
                <w:rFonts w:hint="default" w:ascii="Times New Roman" w:hAnsi="Times New Roman" w:eastAsia="宋体" w:cs="Times New Roman"/>
                <w:color w:val="auto"/>
                <w:sz w:val="24"/>
                <w:szCs w:val="24"/>
                <w:highlight w:val="none"/>
              </w:rPr>
              <w:t>的大气质量数据</w:t>
            </w:r>
            <w:r>
              <w:rPr>
                <w:rFonts w:hint="default" w:ascii="Times New Roman" w:hAnsi="Times New Roman" w:eastAsia="宋体" w:cs="Times New Roman"/>
                <w:color w:val="auto"/>
                <w:sz w:val="24"/>
                <w:highlight w:val="none"/>
              </w:rPr>
              <w:t>，</w:t>
            </w:r>
            <w:r>
              <w:rPr>
                <w:rFonts w:hint="eastAsia"/>
                <w:color w:val="auto"/>
                <w:sz w:val="24"/>
                <w:szCs w:val="24"/>
                <w:lang w:val="en-US" w:eastAsia="zh-CN"/>
              </w:rPr>
              <w:t>阳东区区域空气质量现状</w:t>
            </w:r>
            <w:r>
              <w:rPr>
                <w:rFonts w:hint="eastAsia"/>
                <w:color w:val="auto"/>
                <w:sz w:val="24"/>
                <w:szCs w:val="24"/>
              </w:rPr>
              <w:t>具体情况</w:t>
            </w:r>
            <w:r>
              <w:rPr>
                <w:rFonts w:hint="default" w:ascii="Times New Roman" w:hAnsi="Times New Roman" w:eastAsia="宋体" w:cs="Times New Roman"/>
                <w:b w:val="0"/>
                <w:bCs w:val="0"/>
                <w:color w:val="auto"/>
                <w:sz w:val="24"/>
                <w:szCs w:val="24"/>
                <w:highlight w:val="none"/>
                <w:lang w:val="en-US" w:eastAsia="zh-CN"/>
              </w:rPr>
              <w:t>见表3-1所示</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rPr>
              <w:t>本项目引用的现状监测数据要求符合《环境影响评价技术导则 大气环境》（HJ2.2-2018）的规定</w:t>
            </w:r>
            <w:r>
              <w:rPr>
                <w:rFonts w:hint="eastAsia" w:ascii="Times New Roman" w:hAnsi="Times New Roman" w:eastAsia="宋体" w:cs="Times New Roman"/>
                <w:color w:val="auto"/>
                <w:sz w:val="24"/>
                <w:highlight w:val="none"/>
                <w:lang w:eastAsia="zh-CN"/>
              </w:rPr>
              <w:t>。</w:t>
            </w:r>
          </w:p>
          <w:p w14:paraId="4C5719BB">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right="0" w:firstLine="482"/>
              <w:jc w:val="center"/>
              <w:textAlignment w:val="auto"/>
              <w:rPr>
                <w:rFonts w:hint="eastAsia" w:ascii="Times New Roman" w:hAnsi="Times New Roman" w:cs="Times New Roman"/>
                <w:b/>
                <w:bCs/>
                <w:color w:val="auto"/>
                <w:kern w:val="0"/>
                <w:sz w:val="21"/>
                <w:szCs w:val="21"/>
                <w:highlight w:val="none"/>
                <w:lang w:val="en-US" w:eastAsia="zh-CN"/>
              </w:rPr>
            </w:pPr>
            <w:r>
              <w:rPr>
                <w:rFonts w:hint="eastAsia" w:ascii="Times New Roman" w:hAnsi="Times New Roman" w:cs="Times New Roman"/>
                <w:b/>
                <w:bCs/>
                <w:color w:val="auto"/>
                <w:kern w:val="0"/>
                <w:sz w:val="21"/>
                <w:szCs w:val="21"/>
                <w:highlight w:val="none"/>
                <w:lang w:val="en-US" w:eastAsia="zh-CN"/>
              </w:rPr>
              <w:t>表</w:t>
            </w:r>
            <w:r>
              <w:rPr>
                <w:rFonts w:hint="eastAsia" w:cs="Times New Roman"/>
                <w:b/>
                <w:bCs/>
                <w:color w:val="auto"/>
                <w:kern w:val="0"/>
                <w:sz w:val="21"/>
                <w:szCs w:val="21"/>
                <w:highlight w:val="none"/>
                <w:lang w:val="en-US" w:eastAsia="zh-CN"/>
              </w:rPr>
              <w:t>3-1</w:t>
            </w:r>
            <w:r>
              <w:rPr>
                <w:rFonts w:hint="eastAsia" w:ascii="Times New Roman" w:hAnsi="Times New Roman" w:cs="Times New Roman"/>
                <w:b/>
                <w:bCs/>
                <w:color w:val="auto"/>
                <w:kern w:val="0"/>
                <w:sz w:val="21"/>
                <w:szCs w:val="21"/>
                <w:highlight w:val="none"/>
                <w:lang w:val="en-US" w:eastAsia="zh-CN"/>
              </w:rPr>
              <w:t xml:space="preserve"> </w:t>
            </w:r>
            <w:r>
              <w:rPr>
                <w:rFonts w:hint="eastAsia" w:cs="Times New Roman"/>
                <w:b/>
                <w:bCs/>
                <w:color w:val="auto"/>
                <w:kern w:val="0"/>
                <w:sz w:val="21"/>
                <w:szCs w:val="21"/>
                <w:highlight w:val="none"/>
                <w:lang w:val="en-US" w:eastAsia="zh-CN"/>
              </w:rPr>
              <w:t xml:space="preserve">  </w:t>
            </w:r>
            <w:r>
              <w:rPr>
                <w:rFonts w:hint="eastAsia" w:ascii="Times New Roman" w:hAnsi="Times New Roman" w:cs="Times New Roman"/>
                <w:b/>
                <w:bCs/>
                <w:color w:val="auto"/>
                <w:kern w:val="0"/>
                <w:sz w:val="21"/>
                <w:szCs w:val="21"/>
                <w:highlight w:val="none"/>
                <w:lang w:val="en-US" w:eastAsia="zh-CN"/>
              </w:rPr>
              <w:t>2024年阳江市阳东区大气环境基本项目浓度</w:t>
            </w:r>
          </w:p>
          <w:tbl>
            <w:tblPr>
              <w:tblStyle w:val="32"/>
              <w:tblW w:w="79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3550"/>
              <w:gridCol w:w="1251"/>
              <w:gridCol w:w="1097"/>
              <w:gridCol w:w="1309"/>
            </w:tblGrid>
            <w:tr w14:paraId="4B754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783" w:type="dxa"/>
                  <w:noWrap w:val="0"/>
                  <w:vAlign w:val="center"/>
                </w:tcPr>
                <w:p w14:paraId="56244F5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vertAlign w:val="baseline"/>
                    </w:rPr>
                  </w:pPr>
                  <w:r>
                    <w:rPr>
                      <w:rFonts w:hint="default" w:ascii="Times New Roman" w:hAnsi="Times New Roman" w:eastAsia="宋体" w:cs="Times New Roman"/>
                      <w:b/>
                      <w:bCs/>
                      <w:color w:val="auto"/>
                      <w:sz w:val="21"/>
                      <w:szCs w:val="21"/>
                    </w:rPr>
                    <w:t>序号</w:t>
                  </w:r>
                </w:p>
              </w:tc>
              <w:tc>
                <w:tcPr>
                  <w:tcW w:w="3550" w:type="dxa"/>
                  <w:noWrap w:val="0"/>
                  <w:vAlign w:val="center"/>
                </w:tcPr>
                <w:p w14:paraId="4A9A17D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vertAlign w:val="baseline"/>
                    </w:rPr>
                  </w:pPr>
                  <w:r>
                    <w:rPr>
                      <w:rFonts w:hint="default" w:ascii="Times New Roman" w:hAnsi="Times New Roman" w:eastAsia="宋体" w:cs="Times New Roman"/>
                      <w:b/>
                      <w:bCs/>
                      <w:color w:val="auto"/>
                      <w:sz w:val="21"/>
                      <w:szCs w:val="21"/>
                    </w:rPr>
                    <w:t>污染物项目</w:t>
                  </w:r>
                </w:p>
              </w:tc>
              <w:tc>
                <w:tcPr>
                  <w:tcW w:w="1251" w:type="dxa"/>
                  <w:noWrap w:val="0"/>
                  <w:vAlign w:val="center"/>
                </w:tcPr>
                <w:p w14:paraId="49D576C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vertAlign w:val="baseline"/>
                    </w:rPr>
                  </w:pPr>
                  <w:r>
                    <w:rPr>
                      <w:rFonts w:hint="default" w:ascii="Times New Roman" w:hAnsi="Times New Roman" w:eastAsia="宋体" w:cs="Times New Roman"/>
                      <w:b/>
                      <w:bCs/>
                      <w:color w:val="auto"/>
                      <w:sz w:val="21"/>
                      <w:szCs w:val="21"/>
                    </w:rPr>
                    <w:t>均值</w:t>
                  </w:r>
                </w:p>
              </w:tc>
              <w:tc>
                <w:tcPr>
                  <w:tcW w:w="1097" w:type="dxa"/>
                  <w:noWrap w:val="0"/>
                  <w:vAlign w:val="center"/>
                </w:tcPr>
                <w:p w14:paraId="5C633D6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vertAlign w:val="baseline"/>
                    </w:rPr>
                  </w:pPr>
                  <w:r>
                    <w:rPr>
                      <w:rFonts w:hint="default" w:ascii="Times New Roman" w:hAnsi="Times New Roman" w:eastAsia="宋体" w:cs="Times New Roman"/>
                      <w:b/>
                      <w:bCs/>
                      <w:color w:val="auto"/>
                      <w:sz w:val="21"/>
                      <w:szCs w:val="21"/>
                    </w:rPr>
                    <w:t>执行标准值</w:t>
                  </w:r>
                </w:p>
              </w:tc>
              <w:tc>
                <w:tcPr>
                  <w:tcW w:w="1309" w:type="dxa"/>
                  <w:noWrap w:val="0"/>
                  <w:vAlign w:val="center"/>
                </w:tcPr>
                <w:p w14:paraId="0614E3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占标率</w:t>
                  </w:r>
                </w:p>
              </w:tc>
            </w:tr>
            <w:tr w14:paraId="0312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783" w:type="dxa"/>
                  <w:noWrap w:val="0"/>
                  <w:vAlign w:val="center"/>
                </w:tcPr>
                <w:p w14:paraId="4E049DA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color w:val="auto"/>
                      <w:vertAlign w:val="baseline"/>
                    </w:rPr>
                  </w:pPr>
                  <w:r>
                    <w:rPr>
                      <w:rFonts w:hint="default" w:ascii="Times New Roman" w:hAnsi="Times New Roman" w:eastAsia="宋体" w:cs="Times New Roman"/>
                      <w:color w:val="auto"/>
                      <w:sz w:val="21"/>
                      <w:szCs w:val="21"/>
                    </w:rPr>
                    <w:t>1</w:t>
                  </w:r>
                </w:p>
              </w:tc>
              <w:tc>
                <w:tcPr>
                  <w:tcW w:w="3550" w:type="dxa"/>
                  <w:noWrap w:val="0"/>
                  <w:vAlign w:val="center"/>
                </w:tcPr>
                <w:p w14:paraId="4854E66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color w:val="auto"/>
                      <w:vertAlign w:val="baseline"/>
                    </w:rPr>
                  </w:pPr>
                  <w:r>
                    <w:rPr>
                      <w:rFonts w:hint="default" w:ascii="Times New Roman" w:hAnsi="Times New Roman" w:eastAsia="宋体" w:cs="Times New Roman"/>
                      <w:color w:val="auto"/>
                      <w:sz w:val="21"/>
                      <w:szCs w:val="21"/>
                    </w:rPr>
                    <w:t>二氧化硫（年平均浓度）</w:t>
                  </w:r>
                </w:p>
              </w:tc>
              <w:tc>
                <w:tcPr>
                  <w:tcW w:w="1251" w:type="dxa"/>
                  <w:noWrap w:val="0"/>
                  <w:vAlign w:val="center"/>
                </w:tcPr>
                <w:p w14:paraId="3C682C0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color w:val="auto"/>
                      <w:vertAlign w:val="baseline"/>
                    </w:rPr>
                  </w:pPr>
                  <w:r>
                    <w:rPr>
                      <w:rFonts w:hint="default" w:ascii="Times New Roman" w:hAnsi="Times New Roman" w:eastAsia="宋体" w:cs="Times New Roman"/>
                      <w:color w:val="auto"/>
                      <w:sz w:val="21"/>
                      <w:szCs w:val="21"/>
                      <w:lang w:val="en-US" w:eastAsia="zh-CN"/>
                    </w:rPr>
                    <w:t>7</w:t>
                  </w:r>
                  <w:r>
                    <w:rPr>
                      <w:rFonts w:hint="default" w:ascii="Times New Roman" w:hAnsi="Times New Roman" w:eastAsia="宋体" w:cs="Times New Roman"/>
                      <w:color w:val="auto"/>
                      <w:sz w:val="21"/>
                      <w:szCs w:val="21"/>
                    </w:rPr>
                    <w:t>μg/m</w:t>
                  </w:r>
                  <w:r>
                    <w:rPr>
                      <w:rFonts w:hint="default" w:ascii="Times New Roman" w:hAnsi="Times New Roman" w:eastAsia="宋体" w:cs="Times New Roman"/>
                      <w:color w:val="auto"/>
                      <w:sz w:val="21"/>
                      <w:szCs w:val="21"/>
                      <w:vertAlign w:val="superscript"/>
                    </w:rPr>
                    <w:t>3</w:t>
                  </w:r>
                </w:p>
              </w:tc>
              <w:tc>
                <w:tcPr>
                  <w:tcW w:w="1097" w:type="dxa"/>
                  <w:noWrap w:val="0"/>
                  <w:vAlign w:val="center"/>
                </w:tcPr>
                <w:p w14:paraId="5FE8B29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color w:val="auto"/>
                      <w:vertAlign w:val="baseline"/>
                    </w:rPr>
                  </w:pPr>
                  <w:r>
                    <w:rPr>
                      <w:rFonts w:hint="default" w:ascii="Times New Roman" w:hAnsi="Times New Roman" w:eastAsia="宋体" w:cs="Times New Roman"/>
                      <w:color w:val="auto"/>
                      <w:sz w:val="21"/>
                      <w:szCs w:val="21"/>
                    </w:rPr>
                    <w:t>60μg/m</w:t>
                  </w:r>
                  <w:r>
                    <w:rPr>
                      <w:rFonts w:hint="default" w:ascii="Times New Roman" w:hAnsi="Times New Roman" w:eastAsia="宋体" w:cs="Times New Roman"/>
                      <w:color w:val="auto"/>
                      <w:sz w:val="21"/>
                      <w:szCs w:val="21"/>
                      <w:vertAlign w:val="superscript"/>
                    </w:rPr>
                    <w:t>3</w:t>
                  </w:r>
                </w:p>
              </w:tc>
              <w:tc>
                <w:tcPr>
                  <w:tcW w:w="1309" w:type="dxa"/>
                  <w:noWrap w:val="0"/>
                  <w:vAlign w:val="center"/>
                </w:tcPr>
                <w:p w14:paraId="75F59DB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11.7%</w:t>
                  </w:r>
                </w:p>
              </w:tc>
            </w:tr>
            <w:tr w14:paraId="00BA8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783" w:type="dxa"/>
                  <w:noWrap w:val="0"/>
                  <w:vAlign w:val="center"/>
                </w:tcPr>
                <w:p w14:paraId="3622407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color w:val="auto"/>
                      <w:vertAlign w:val="baseline"/>
                    </w:rPr>
                  </w:pPr>
                  <w:r>
                    <w:rPr>
                      <w:rFonts w:hint="default" w:ascii="Times New Roman" w:hAnsi="Times New Roman" w:eastAsia="宋体" w:cs="Times New Roman"/>
                      <w:color w:val="auto"/>
                      <w:sz w:val="21"/>
                      <w:szCs w:val="21"/>
                    </w:rPr>
                    <w:t>2</w:t>
                  </w:r>
                </w:p>
              </w:tc>
              <w:tc>
                <w:tcPr>
                  <w:tcW w:w="3550" w:type="dxa"/>
                  <w:noWrap w:val="0"/>
                  <w:vAlign w:val="center"/>
                </w:tcPr>
                <w:p w14:paraId="4D6AA25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color w:val="auto"/>
                      <w:vertAlign w:val="baseline"/>
                    </w:rPr>
                  </w:pPr>
                  <w:r>
                    <w:rPr>
                      <w:rFonts w:hint="default" w:ascii="Times New Roman" w:hAnsi="Times New Roman" w:eastAsia="宋体" w:cs="Times New Roman"/>
                      <w:color w:val="auto"/>
                      <w:sz w:val="21"/>
                      <w:szCs w:val="21"/>
                    </w:rPr>
                    <w:t>二氧化氮（年平均浓度）</w:t>
                  </w:r>
                </w:p>
              </w:tc>
              <w:tc>
                <w:tcPr>
                  <w:tcW w:w="1251" w:type="dxa"/>
                  <w:noWrap w:val="0"/>
                  <w:vAlign w:val="center"/>
                </w:tcPr>
                <w:p w14:paraId="5912D91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color w:val="auto"/>
                      <w:vertAlign w:val="baseline"/>
                    </w:rPr>
                  </w:pPr>
                  <w:r>
                    <w:rPr>
                      <w:rFonts w:hint="eastAsia" w:ascii="Times New Roman" w:hAnsi="Times New Roman" w:eastAsia="宋体" w:cs="Times New Roman"/>
                      <w:color w:val="auto"/>
                      <w:sz w:val="21"/>
                      <w:szCs w:val="21"/>
                      <w:lang w:val="en-US" w:eastAsia="zh-CN"/>
                    </w:rPr>
                    <w:t>14</w:t>
                  </w:r>
                  <w:r>
                    <w:rPr>
                      <w:rFonts w:hint="default" w:ascii="Times New Roman" w:hAnsi="Times New Roman" w:eastAsia="宋体" w:cs="Times New Roman"/>
                      <w:color w:val="auto"/>
                      <w:sz w:val="21"/>
                      <w:szCs w:val="21"/>
                    </w:rPr>
                    <w:t>μg/m</w:t>
                  </w:r>
                  <w:r>
                    <w:rPr>
                      <w:rFonts w:hint="default" w:ascii="Times New Roman" w:hAnsi="Times New Roman" w:eastAsia="宋体" w:cs="Times New Roman"/>
                      <w:color w:val="auto"/>
                      <w:sz w:val="21"/>
                      <w:szCs w:val="21"/>
                      <w:vertAlign w:val="superscript"/>
                    </w:rPr>
                    <w:t>3</w:t>
                  </w:r>
                </w:p>
              </w:tc>
              <w:tc>
                <w:tcPr>
                  <w:tcW w:w="1097" w:type="dxa"/>
                  <w:noWrap w:val="0"/>
                  <w:vAlign w:val="center"/>
                </w:tcPr>
                <w:p w14:paraId="35F01E6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color w:val="auto"/>
                      <w:vertAlign w:val="baseline"/>
                    </w:rPr>
                  </w:pPr>
                  <w:r>
                    <w:rPr>
                      <w:rFonts w:hint="default" w:ascii="Times New Roman" w:hAnsi="Times New Roman" w:eastAsia="宋体" w:cs="Times New Roman"/>
                      <w:color w:val="auto"/>
                      <w:sz w:val="21"/>
                      <w:szCs w:val="21"/>
                    </w:rPr>
                    <w:t>40μg/m</w:t>
                  </w:r>
                  <w:r>
                    <w:rPr>
                      <w:rFonts w:hint="default" w:ascii="Times New Roman" w:hAnsi="Times New Roman" w:eastAsia="宋体" w:cs="Times New Roman"/>
                      <w:color w:val="auto"/>
                      <w:sz w:val="21"/>
                      <w:szCs w:val="21"/>
                      <w:vertAlign w:val="superscript"/>
                    </w:rPr>
                    <w:t>3</w:t>
                  </w:r>
                </w:p>
              </w:tc>
              <w:tc>
                <w:tcPr>
                  <w:tcW w:w="1309" w:type="dxa"/>
                  <w:noWrap w:val="0"/>
                  <w:vAlign w:val="center"/>
                </w:tcPr>
                <w:p w14:paraId="3FA4FE8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35.0</w:t>
                  </w:r>
                  <w:r>
                    <w:rPr>
                      <w:rFonts w:hint="default" w:ascii="Times New Roman" w:hAnsi="Times New Roman" w:eastAsia="宋体" w:cs="Times New Roman"/>
                      <w:color w:val="auto"/>
                      <w:sz w:val="21"/>
                      <w:szCs w:val="21"/>
                      <w:lang w:val="en-US" w:eastAsia="zh-CN"/>
                    </w:rPr>
                    <w:t>%</w:t>
                  </w:r>
                </w:p>
              </w:tc>
            </w:tr>
            <w:tr w14:paraId="46363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783" w:type="dxa"/>
                  <w:noWrap w:val="0"/>
                  <w:vAlign w:val="center"/>
                </w:tcPr>
                <w:p w14:paraId="7C65CD6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color w:val="auto"/>
                      <w:vertAlign w:val="baseline"/>
                    </w:rPr>
                  </w:pPr>
                  <w:r>
                    <w:rPr>
                      <w:rFonts w:hint="default" w:ascii="Times New Roman" w:hAnsi="Times New Roman" w:eastAsia="宋体" w:cs="Times New Roman"/>
                      <w:color w:val="auto"/>
                      <w:sz w:val="21"/>
                      <w:szCs w:val="21"/>
                    </w:rPr>
                    <w:t>3</w:t>
                  </w:r>
                </w:p>
              </w:tc>
              <w:tc>
                <w:tcPr>
                  <w:tcW w:w="3550" w:type="dxa"/>
                  <w:noWrap w:val="0"/>
                  <w:vAlign w:val="center"/>
                </w:tcPr>
                <w:p w14:paraId="3C6117B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color w:val="auto"/>
                      <w:vertAlign w:val="baseline"/>
                    </w:rPr>
                  </w:pPr>
                  <w:r>
                    <w:rPr>
                      <w:rFonts w:hint="default" w:ascii="Times New Roman" w:hAnsi="Times New Roman" w:eastAsia="宋体" w:cs="Times New Roman"/>
                      <w:color w:val="auto"/>
                      <w:sz w:val="21"/>
                      <w:szCs w:val="21"/>
                    </w:rPr>
                    <w:t>一氧化碳（第95百分位数浓度）</w:t>
                  </w:r>
                </w:p>
              </w:tc>
              <w:tc>
                <w:tcPr>
                  <w:tcW w:w="1251" w:type="dxa"/>
                  <w:noWrap w:val="0"/>
                  <w:vAlign w:val="center"/>
                </w:tcPr>
                <w:p w14:paraId="36BC968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color w:val="auto"/>
                      <w:vertAlign w:val="baseline"/>
                    </w:rPr>
                  </w:pPr>
                  <w:r>
                    <w:rPr>
                      <w:rFonts w:hint="default" w:ascii="Times New Roman" w:hAnsi="Times New Roman" w:eastAsia="宋体" w:cs="Times New Roman"/>
                      <w:color w:val="auto"/>
                      <w:sz w:val="21"/>
                      <w:szCs w:val="21"/>
                      <w:lang w:val="en-US" w:eastAsia="zh-CN"/>
                    </w:rPr>
                    <w:t>0.</w:t>
                  </w:r>
                  <w:r>
                    <w:rPr>
                      <w:rFonts w:hint="eastAsia" w:ascii="Times New Roman" w:hAnsi="Times New Roman" w:eastAsia="宋体" w:cs="Times New Roman"/>
                      <w:color w:val="auto"/>
                      <w:sz w:val="21"/>
                      <w:szCs w:val="21"/>
                      <w:lang w:val="en-US" w:eastAsia="zh-CN"/>
                    </w:rPr>
                    <w:t>8</w:t>
                  </w:r>
                  <w:r>
                    <w:rPr>
                      <w:rFonts w:hint="default" w:ascii="Times New Roman" w:hAnsi="Times New Roman" w:eastAsia="宋体" w:cs="Times New Roman"/>
                      <w:color w:val="auto"/>
                      <w:sz w:val="21"/>
                      <w:szCs w:val="21"/>
                    </w:rPr>
                    <w:t>mg/m</w:t>
                  </w:r>
                  <w:r>
                    <w:rPr>
                      <w:rFonts w:hint="default" w:ascii="Times New Roman" w:hAnsi="Times New Roman" w:eastAsia="宋体" w:cs="Times New Roman"/>
                      <w:color w:val="auto"/>
                      <w:sz w:val="21"/>
                      <w:szCs w:val="21"/>
                      <w:vertAlign w:val="superscript"/>
                    </w:rPr>
                    <w:t>3</w:t>
                  </w:r>
                </w:p>
              </w:tc>
              <w:tc>
                <w:tcPr>
                  <w:tcW w:w="1097" w:type="dxa"/>
                  <w:noWrap w:val="0"/>
                  <w:vAlign w:val="center"/>
                </w:tcPr>
                <w:p w14:paraId="783645D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color w:val="auto"/>
                      <w:vertAlign w:val="baseline"/>
                    </w:rPr>
                  </w:pPr>
                  <w:r>
                    <w:rPr>
                      <w:rFonts w:hint="default" w:ascii="Times New Roman" w:hAnsi="Times New Roman" w:eastAsia="宋体" w:cs="Times New Roman"/>
                      <w:color w:val="auto"/>
                      <w:sz w:val="21"/>
                      <w:szCs w:val="21"/>
                    </w:rPr>
                    <w:t>4mg/m</w:t>
                  </w:r>
                  <w:r>
                    <w:rPr>
                      <w:rFonts w:hint="default" w:ascii="Times New Roman" w:hAnsi="Times New Roman" w:eastAsia="宋体" w:cs="Times New Roman"/>
                      <w:color w:val="auto"/>
                      <w:sz w:val="21"/>
                      <w:szCs w:val="21"/>
                      <w:vertAlign w:val="superscript"/>
                    </w:rPr>
                    <w:t>3</w:t>
                  </w:r>
                </w:p>
              </w:tc>
              <w:tc>
                <w:tcPr>
                  <w:tcW w:w="1309" w:type="dxa"/>
                  <w:noWrap w:val="0"/>
                  <w:vAlign w:val="center"/>
                </w:tcPr>
                <w:p w14:paraId="274243F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20.0</w:t>
                  </w:r>
                  <w:r>
                    <w:rPr>
                      <w:rFonts w:hint="default" w:ascii="Times New Roman" w:hAnsi="Times New Roman" w:eastAsia="宋体" w:cs="Times New Roman"/>
                      <w:color w:val="auto"/>
                      <w:sz w:val="21"/>
                      <w:szCs w:val="21"/>
                      <w:lang w:val="en-US" w:eastAsia="zh-CN"/>
                    </w:rPr>
                    <w:t>%</w:t>
                  </w:r>
                </w:p>
              </w:tc>
            </w:tr>
            <w:tr w14:paraId="00966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783" w:type="dxa"/>
                  <w:noWrap w:val="0"/>
                  <w:vAlign w:val="center"/>
                </w:tcPr>
                <w:p w14:paraId="193B0D8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color w:val="auto"/>
                      <w:vertAlign w:val="baseline"/>
                    </w:rPr>
                  </w:pPr>
                  <w:r>
                    <w:rPr>
                      <w:rFonts w:hint="default" w:ascii="Times New Roman" w:hAnsi="Times New Roman" w:eastAsia="宋体" w:cs="Times New Roman"/>
                      <w:color w:val="auto"/>
                      <w:sz w:val="21"/>
                      <w:szCs w:val="21"/>
                    </w:rPr>
                    <w:t>4</w:t>
                  </w:r>
                </w:p>
              </w:tc>
              <w:tc>
                <w:tcPr>
                  <w:tcW w:w="3550" w:type="dxa"/>
                  <w:noWrap w:val="0"/>
                  <w:vAlign w:val="center"/>
                </w:tcPr>
                <w:p w14:paraId="4A9030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color w:val="auto"/>
                      <w:vertAlign w:val="baseline"/>
                    </w:rPr>
                  </w:pPr>
                  <w:r>
                    <w:rPr>
                      <w:rFonts w:hint="default" w:ascii="Times New Roman" w:hAnsi="Times New Roman" w:eastAsia="宋体" w:cs="Times New Roman"/>
                      <w:color w:val="auto"/>
                      <w:sz w:val="21"/>
                      <w:szCs w:val="21"/>
                    </w:rPr>
                    <w:t>臭氧（8小时均值第90百分位数浓度）</w:t>
                  </w:r>
                </w:p>
              </w:tc>
              <w:tc>
                <w:tcPr>
                  <w:tcW w:w="1251" w:type="dxa"/>
                  <w:noWrap w:val="0"/>
                  <w:vAlign w:val="center"/>
                </w:tcPr>
                <w:p w14:paraId="405A93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color w:val="auto"/>
                      <w:vertAlign w:val="baseline"/>
                    </w:rPr>
                  </w:pPr>
                  <w:r>
                    <w:rPr>
                      <w:rFonts w:hint="eastAsia" w:ascii="Times New Roman" w:hAnsi="Times New Roman" w:eastAsia="宋体" w:cs="Times New Roman"/>
                      <w:color w:val="auto"/>
                      <w:sz w:val="21"/>
                      <w:szCs w:val="21"/>
                      <w:lang w:val="en-US" w:eastAsia="zh-CN"/>
                    </w:rPr>
                    <w:t>133</w:t>
                  </w:r>
                  <w:r>
                    <w:rPr>
                      <w:rFonts w:hint="default" w:ascii="Times New Roman" w:hAnsi="Times New Roman" w:eastAsia="宋体" w:cs="Times New Roman"/>
                      <w:color w:val="auto"/>
                      <w:sz w:val="21"/>
                      <w:szCs w:val="21"/>
                    </w:rPr>
                    <w:t>μg/m</w:t>
                  </w:r>
                  <w:r>
                    <w:rPr>
                      <w:rFonts w:hint="default" w:ascii="Times New Roman" w:hAnsi="Times New Roman" w:eastAsia="宋体" w:cs="Times New Roman"/>
                      <w:color w:val="auto"/>
                      <w:sz w:val="21"/>
                      <w:szCs w:val="21"/>
                      <w:vertAlign w:val="superscript"/>
                    </w:rPr>
                    <w:t>3</w:t>
                  </w:r>
                </w:p>
              </w:tc>
              <w:tc>
                <w:tcPr>
                  <w:tcW w:w="1097" w:type="dxa"/>
                  <w:noWrap w:val="0"/>
                  <w:vAlign w:val="center"/>
                </w:tcPr>
                <w:p w14:paraId="604EFCE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color w:val="auto"/>
                      <w:vertAlign w:val="baseline"/>
                    </w:rPr>
                  </w:pPr>
                  <w:r>
                    <w:rPr>
                      <w:rFonts w:hint="default" w:ascii="Times New Roman" w:hAnsi="Times New Roman" w:eastAsia="宋体" w:cs="Times New Roman"/>
                      <w:color w:val="auto"/>
                      <w:sz w:val="21"/>
                      <w:szCs w:val="21"/>
                    </w:rPr>
                    <w:t>160μg/m</w:t>
                  </w:r>
                  <w:r>
                    <w:rPr>
                      <w:rFonts w:hint="default" w:ascii="Times New Roman" w:hAnsi="Times New Roman" w:eastAsia="宋体" w:cs="Times New Roman"/>
                      <w:color w:val="auto"/>
                      <w:sz w:val="21"/>
                      <w:szCs w:val="21"/>
                      <w:vertAlign w:val="superscript"/>
                    </w:rPr>
                    <w:t>3</w:t>
                  </w:r>
                </w:p>
              </w:tc>
              <w:tc>
                <w:tcPr>
                  <w:tcW w:w="1309" w:type="dxa"/>
                  <w:noWrap w:val="0"/>
                  <w:vAlign w:val="center"/>
                </w:tcPr>
                <w:p w14:paraId="48E1687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83.1</w:t>
                  </w:r>
                  <w:r>
                    <w:rPr>
                      <w:rFonts w:hint="default" w:ascii="Times New Roman" w:hAnsi="Times New Roman" w:eastAsia="宋体" w:cs="Times New Roman"/>
                      <w:color w:val="auto"/>
                      <w:sz w:val="21"/>
                      <w:szCs w:val="21"/>
                      <w:lang w:val="en-US" w:eastAsia="zh-CN"/>
                    </w:rPr>
                    <w:t>%</w:t>
                  </w:r>
                </w:p>
              </w:tc>
            </w:tr>
            <w:tr w14:paraId="21361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783" w:type="dxa"/>
                  <w:noWrap w:val="0"/>
                  <w:vAlign w:val="center"/>
                </w:tcPr>
                <w:p w14:paraId="58D5E30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color w:val="auto"/>
                      <w:vertAlign w:val="baseline"/>
                    </w:rPr>
                  </w:pPr>
                  <w:r>
                    <w:rPr>
                      <w:rFonts w:hint="default" w:ascii="Times New Roman" w:hAnsi="Times New Roman" w:eastAsia="宋体" w:cs="Times New Roman"/>
                      <w:color w:val="auto"/>
                      <w:sz w:val="21"/>
                      <w:szCs w:val="21"/>
                    </w:rPr>
                    <w:t>5</w:t>
                  </w:r>
                </w:p>
              </w:tc>
              <w:tc>
                <w:tcPr>
                  <w:tcW w:w="3550" w:type="dxa"/>
                  <w:noWrap w:val="0"/>
                  <w:vAlign w:val="center"/>
                </w:tcPr>
                <w:p w14:paraId="375ED0D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color w:val="auto"/>
                      <w:vertAlign w:val="baseline"/>
                    </w:rPr>
                  </w:pPr>
                  <w:r>
                    <w:rPr>
                      <w:rFonts w:hint="default" w:ascii="Times New Roman" w:hAnsi="Times New Roman" w:eastAsia="宋体" w:cs="Times New Roman"/>
                      <w:color w:val="auto"/>
                      <w:sz w:val="21"/>
                      <w:szCs w:val="21"/>
                    </w:rPr>
                    <w:t>PM</w:t>
                  </w:r>
                  <w:r>
                    <w:rPr>
                      <w:rFonts w:hint="default" w:ascii="Times New Roman" w:hAnsi="Times New Roman" w:eastAsia="宋体" w:cs="Times New Roman"/>
                      <w:color w:val="auto"/>
                      <w:sz w:val="21"/>
                      <w:szCs w:val="21"/>
                      <w:vertAlign w:val="subscript"/>
                    </w:rPr>
                    <w:t>10</w:t>
                  </w:r>
                  <w:r>
                    <w:rPr>
                      <w:rFonts w:hint="default" w:ascii="Times New Roman" w:hAnsi="Times New Roman" w:eastAsia="宋体" w:cs="Times New Roman"/>
                      <w:color w:val="auto"/>
                      <w:sz w:val="21"/>
                      <w:szCs w:val="21"/>
                    </w:rPr>
                    <w:t>（年平均浓度）</w:t>
                  </w:r>
                </w:p>
              </w:tc>
              <w:tc>
                <w:tcPr>
                  <w:tcW w:w="1251" w:type="dxa"/>
                  <w:noWrap w:val="0"/>
                  <w:vAlign w:val="center"/>
                </w:tcPr>
                <w:p w14:paraId="01942DB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color w:val="auto"/>
                      <w:vertAlign w:val="baseline"/>
                    </w:rPr>
                  </w:pPr>
                  <w:r>
                    <w:rPr>
                      <w:rFonts w:hint="eastAsia" w:ascii="Times New Roman" w:hAnsi="Times New Roman" w:eastAsia="宋体" w:cs="Times New Roman"/>
                      <w:color w:val="auto"/>
                      <w:sz w:val="21"/>
                      <w:szCs w:val="21"/>
                      <w:lang w:val="en-US" w:eastAsia="zh-CN"/>
                    </w:rPr>
                    <w:t>34</w:t>
                  </w:r>
                  <w:r>
                    <w:rPr>
                      <w:rFonts w:hint="default" w:ascii="Times New Roman" w:hAnsi="Times New Roman" w:eastAsia="宋体" w:cs="Times New Roman"/>
                      <w:color w:val="auto"/>
                      <w:sz w:val="21"/>
                      <w:szCs w:val="21"/>
                    </w:rPr>
                    <w:t>μg/m</w:t>
                  </w:r>
                  <w:r>
                    <w:rPr>
                      <w:rFonts w:hint="default" w:ascii="Times New Roman" w:hAnsi="Times New Roman" w:eastAsia="宋体" w:cs="Times New Roman"/>
                      <w:color w:val="auto"/>
                      <w:sz w:val="21"/>
                      <w:szCs w:val="21"/>
                      <w:vertAlign w:val="superscript"/>
                    </w:rPr>
                    <w:t>3</w:t>
                  </w:r>
                </w:p>
              </w:tc>
              <w:tc>
                <w:tcPr>
                  <w:tcW w:w="1097" w:type="dxa"/>
                  <w:noWrap w:val="0"/>
                  <w:vAlign w:val="center"/>
                </w:tcPr>
                <w:p w14:paraId="0B0F13D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color w:val="auto"/>
                      <w:vertAlign w:val="baseline"/>
                    </w:rPr>
                  </w:pPr>
                  <w:r>
                    <w:rPr>
                      <w:rFonts w:hint="eastAsia" w:ascii="Times New Roman" w:hAnsi="Times New Roman" w:eastAsia="宋体" w:cs="Times New Roman"/>
                      <w:color w:val="auto"/>
                      <w:sz w:val="21"/>
                      <w:szCs w:val="21"/>
                      <w:lang w:val="en-US" w:eastAsia="zh-CN"/>
                    </w:rPr>
                    <w:t>6</w:t>
                  </w:r>
                  <w:r>
                    <w:rPr>
                      <w:rFonts w:hint="default" w:ascii="Times New Roman" w:hAnsi="Times New Roman" w:eastAsia="宋体" w:cs="Times New Roman"/>
                      <w:color w:val="auto"/>
                      <w:sz w:val="21"/>
                      <w:szCs w:val="21"/>
                    </w:rPr>
                    <w:t>0μg/m</w:t>
                  </w:r>
                  <w:r>
                    <w:rPr>
                      <w:rFonts w:hint="default" w:ascii="Times New Roman" w:hAnsi="Times New Roman" w:eastAsia="宋体" w:cs="Times New Roman"/>
                      <w:color w:val="auto"/>
                      <w:sz w:val="21"/>
                      <w:szCs w:val="21"/>
                      <w:vertAlign w:val="superscript"/>
                    </w:rPr>
                    <w:t>3</w:t>
                  </w:r>
                </w:p>
              </w:tc>
              <w:tc>
                <w:tcPr>
                  <w:tcW w:w="1309" w:type="dxa"/>
                  <w:noWrap w:val="0"/>
                  <w:vAlign w:val="center"/>
                </w:tcPr>
                <w:p w14:paraId="63A55F0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56.7</w:t>
                  </w:r>
                  <w:r>
                    <w:rPr>
                      <w:rFonts w:hint="default" w:ascii="Times New Roman" w:hAnsi="Times New Roman" w:eastAsia="宋体" w:cs="Times New Roman"/>
                      <w:color w:val="auto"/>
                      <w:sz w:val="21"/>
                      <w:szCs w:val="21"/>
                      <w:lang w:val="en-US" w:eastAsia="zh-CN"/>
                    </w:rPr>
                    <w:t>%</w:t>
                  </w:r>
                </w:p>
              </w:tc>
            </w:tr>
            <w:tr w14:paraId="4DBBC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783" w:type="dxa"/>
                  <w:noWrap w:val="0"/>
                  <w:vAlign w:val="center"/>
                </w:tcPr>
                <w:p w14:paraId="7C5EA25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color w:val="auto"/>
                      <w:vertAlign w:val="baseline"/>
                    </w:rPr>
                  </w:pPr>
                  <w:r>
                    <w:rPr>
                      <w:rFonts w:hint="default" w:ascii="Times New Roman" w:hAnsi="Times New Roman" w:eastAsia="宋体" w:cs="Times New Roman"/>
                      <w:color w:val="auto"/>
                      <w:sz w:val="21"/>
                      <w:szCs w:val="21"/>
                    </w:rPr>
                    <w:t>6</w:t>
                  </w:r>
                </w:p>
              </w:tc>
              <w:tc>
                <w:tcPr>
                  <w:tcW w:w="3550" w:type="dxa"/>
                  <w:noWrap w:val="0"/>
                  <w:vAlign w:val="center"/>
                </w:tcPr>
                <w:p w14:paraId="5F0613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color w:val="auto"/>
                      <w:vertAlign w:val="baseline"/>
                    </w:rPr>
                  </w:pPr>
                  <w:r>
                    <w:rPr>
                      <w:rFonts w:hint="default" w:ascii="Times New Roman" w:hAnsi="Times New Roman" w:eastAsia="宋体" w:cs="Times New Roman"/>
                      <w:color w:val="auto"/>
                      <w:sz w:val="21"/>
                      <w:szCs w:val="21"/>
                    </w:rPr>
                    <w:t>PM</w:t>
                  </w:r>
                  <w:r>
                    <w:rPr>
                      <w:rFonts w:hint="default" w:ascii="Times New Roman" w:hAnsi="Times New Roman" w:eastAsia="宋体" w:cs="Times New Roman"/>
                      <w:color w:val="auto"/>
                      <w:sz w:val="21"/>
                      <w:szCs w:val="21"/>
                      <w:vertAlign w:val="subscript"/>
                    </w:rPr>
                    <w:t>2.5</w:t>
                  </w:r>
                  <w:r>
                    <w:rPr>
                      <w:rFonts w:hint="default" w:ascii="Times New Roman" w:hAnsi="Times New Roman" w:eastAsia="宋体" w:cs="Times New Roman"/>
                      <w:color w:val="auto"/>
                      <w:sz w:val="21"/>
                      <w:szCs w:val="21"/>
                    </w:rPr>
                    <w:t>（年平均浓度）</w:t>
                  </w:r>
                </w:p>
              </w:tc>
              <w:tc>
                <w:tcPr>
                  <w:tcW w:w="1251" w:type="dxa"/>
                  <w:noWrap w:val="0"/>
                  <w:vAlign w:val="center"/>
                </w:tcPr>
                <w:p w14:paraId="47C4C15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color w:val="auto"/>
                      <w:vertAlign w:val="baseline"/>
                    </w:rPr>
                  </w:pPr>
                  <w:r>
                    <w:rPr>
                      <w:rFonts w:hint="default" w:ascii="Times New Roman" w:hAnsi="Times New Roman" w:eastAsia="宋体" w:cs="Times New Roman"/>
                      <w:color w:val="auto"/>
                      <w:sz w:val="21"/>
                      <w:szCs w:val="21"/>
                      <w:lang w:val="en-US" w:eastAsia="zh-CN"/>
                    </w:rPr>
                    <w:t>21</w:t>
                  </w:r>
                  <w:r>
                    <w:rPr>
                      <w:rFonts w:hint="default" w:ascii="Times New Roman" w:hAnsi="Times New Roman" w:eastAsia="宋体" w:cs="Times New Roman"/>
                      <w:color w:val="auto"/>
                      <w:sz w:val="21"/>
                      <w:szCs w:val="21"/>
                    </w:rPr>
                    <w:t>μg/m</w:t>
                  </w:r>
                  <w:r>
                    <w:rPr>
                      <w:rFonts w:hint="default" w:ascii="Times New Roman" w:hAnsi="Times New Roman" w:eastAsia="宋体" w:cs="Times New Roman"/>
                      <w:color w:val="auto"/>
                      <w:sz w:val="21"/>
                      <w:szCs w:val="21"/>
                      <w:vertAlign w:val="superscript"/>
                    </w:rPr>
                    <w:t>3</w:t>
                  </w:r>
                </w:p>
              </w:tc>
              <w:tc>
                <w:tcPr>
                  <w:tcW w:w="1097" w:type="dxa"/>
                  <w:noWrap w:val="0"/>
                  <w:vAlign w:val="center"/>
                </w:tcPr>
                <w:p w14:paraId="2CA751C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color w:val="auto"/>
                      <w:vertAlign w:val="baseline"/>
                    </w:rPr>
                  </w:pPr>
                  <w:r>
                    <w:rPr>
                      <w:rFonts w:hint="default" w:ascii="Times New Roman" w:hAnsi="Times New Roman" w:eastAsia="宋体" w:cs="Times New Roman"/>
                      <w:color w:val="auto"/>
                      <w:sz w:val="21"/>
                      <w:szCs w:val="21"/>
                    </w:rPr>
                    <w:t>3</w:t>
                  </w:r>
                  <w:r>
                    <w:rPr>
                      <w:rFonts w:hint="eastAsia" w:ascii="Times New Roman" w:hAnsi="Times New Roman" w:eastAsia="宋体" w:cs="Times New Roman"/>
                      <w:color w:val="auto"/>
                      <w:sz w:val="21"/>
                      <w:szCs w:val="21"/>
                      <w:lang w:val="en-US" w:eastAsia="zh-CN"/>
                    </w:rPr>
                    <w:t>0</w:t>
                  </w:r>
                  <w:r>
                    <w:rPr>
                      <w:rFonts w:hint="default" w:ascii="Times New Roman" w:hAnsi="Times New Roman" w:eastAsia="宋体" w:cs="Times New Roman"/>
                      <w:color w:val="auto"/>
                      <w:sz w:val="21"/>
                      <w:szCs w:val="21"/>
                    </w:rPr>
                    <w:t>μg/m</w:t>
                  </w:r>
                  <w:r>
                    <w:rPr>
                      <w:rFonts w:hint="default" w:ascii="Times New Roman" w:hAnsi="Times New Roman" w:eastAsia="宋体" w:cs="Times New Roman"/>
                      <w:color w:val="auto"/>
                      <w:sz w:val="21"/>
                      <w:szCs w:val="21"/>
                      <w:vertAlign w:val="superscript"/>
                    </w:rPr>
                    <w:t>3</w:t>
                  </w:r>
                </w:p>
              </w:tc>
              <w:tc>
                <w:tcPr>
                  <w:tcW w:w="1309" w:type="dxa"/>
                  <w:noWrap w:val="0"/>
                  <w:vAlign w:val="center"/>
                </w:tcPr>
                <w:p w14:paraId="1ED99F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7</w:t>
                  </w:r>
                  <w:r>
                    <w:rPr>
                      <w:rFonts w:hint="default" w:ascii="Times New Roman" w:hAnsi="Times New Roman" w:eastAsia="宋体" w:cs="Times New Roman"/>
                      <w:color w:val="auto"/>
                      <w:sz w:val="21"/>
                      <w:szCs w:val="21"/>
                      <w:lang w:val="en-US" w:eastAsia="zh-CN"/>
                    </w:rPr>
                    <w:t>0.0%</w:t>
                  </w:r>
                </w:p>
              </w:tc>
            </w:tr>
          </w:tbl>
          <w:p w14:paraId="4E698636">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2"/>
              <w:jc w:val="left"/>
              <w:textAlignment w:val="auto"/>
              <w:rPr>
                <w:rFonts w:hint="eastAsia" w:ascii="Times New Roman" w:hAnsi="Times New Roman" w:cs="Times New Roman"/>
                <w:b w:val="0"/>
                <w:bCs w:val="0"/>
                <w:color w:val="auto"/>
                <w:kern w:val="0"/>
                <w:sz w:val="24"/>
                <w:szCs w:val="24"/>
                <w:highlight w:val="none"/>
                <w:lang w:val="en-US" w:eastAsia="zh-CN"/>
              </w:rPr>
            </w:pPr>
            <w:r>
              <w:rPr>
                <w:rFonts w:hint="eastAsia" w:ascii="Times New Roman" w:hAnsi="Times New Roman" w:cs="Times New Roman"/>
                <w:b w:val="0"/>
                <w:bCs w:val="0"/>
                <w:color w:val="auto"/>
                <w:kern w:val="0"/>
                <w:sz w:val="24"/>
                <w:szCs w:val="24"/>
                <w:highlight w:val="none"/>
                <w:lang w:val="en-US" w:eastAsia="zh-CN"/>
              </w:rPr>
              <w:t>由上表可得，二氧化硫、二氧化氮、可吸入颗粒物（PM10）、一氧化碳、臭氧、细颗粒物（PM2.5）6个基本污染物浓度均满足《环境空气质量标准》（GB3095-2026）表1环境空气污染物基本项目过渡阶段二级标准浓度限值。本项目所在区域环境空气质量现状良好，为达标区。</w:t>
            </w:r>
          </w:p>
          <w:p w14:paraId="057F0C47">
            <w:pPr>
              <w:keepNext w:val="0"/>
              <w:keepLines w:val="0"/>
              <w:suppressLineNumbers w:val="0"/>
              <w:tabs>
                <w:tab w:val="left" w:pos="452"/>
              </w:tabs>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szCs w:val="32"/>
                <w:highlight w:val="none"/>
              </w:rPr>
            </w:pPr>
            <w:r>
              <w:rPr>
                <w:rFonts w:hint="default" w:ascii="Times New Roman" w:hAnsi="Times New Roman" w:eastAsia="宋体" w:cs="Times New Roman"/>
                <w:b/>
                <w:bCs/>
                <w:color w:val="auto"/>
                <w:sz w:val="24"/>
                <w:szCs w:val="32"/>
                <w:highlight w:val="none"/>
              </w:rPr>
              <w:t>（二）地表水环境质量现状</w:t>
            </w:r>
          </w:p>
          <w:p w14:paraId="02B9276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rPr>
              <w:t>本项目实行雨污分流，雨水经厂内雨水管道进入市政雨水管网。</w:t>
            </w:r>
            <w:r>
              <w:rPr>
                <w:rFonts w:hint="default" w:ascii="Times New Roman" w:hAnsi="Times New Roman" w:cs="Times New Roman"/>
                <w:color w:val="auto"/>
                <w:sz w:val="24"/>
                <w:szCs w:val="24"/>
                <w:highlight w:val="none"/>
              </w:rPr>
              <w:t>本项目外排废水为生活污水</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生活污水经三级化粪池预处理</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满足</w:t>
            </w:r>
            <w:r>
              <w:rPr>
                <w:rFonts w:hint="default" w:ascii="Times New Roman" w:hAnsi="Times New Roman" w:cs="Times New Roman"/>
                <w:color w:val="auto"/>
                <w:sz w:val="24"/>
                <w:szCs w:val="24"/>
                <w:highlight w:val="none"/>
              </w:rPr>
              <w:t>广东省地方标准《水污染物排放限值》（DB44/26-2001）第二时段三级</w:t>
            </w:r>
            <w:r>
              <w:rPr>
                <w:rFonts w:hint="default" w:ascii="Times New Roman" w:hAnsi="Times New Roman" w:cs="Times New Roman"/>
                <w:color w:val="auto"/>
                <w:sz w:val="24"/>
                <w:szCs w:val="24"/>
                <w:highlight w:val="none"/>
                <w:lang w:val="en-US" w:eastAsia="zh-CN"/>
              </w:rPr>
              <w:t>标准和广东阳东经济开发区污水处理厂接管标准两者较严值</w:t>
            </w:r>
            <w:r>
              <w:rPr>
                <w:rFonts w:hint="default" w:ascii="Times New Roman" w:hAnsi="Times New Roman" w:cs="Times New Roman"/>
                <w:color w:val="auto"/>
                <w:sz w:val="24"/>
                <w:szCs w:val="24"/>
                <w:highlight w:val="none"/>
              </w:rPr>
              <w:t>，经市政污水管网引</w:t>
            </w:r>
            <w:r>
              <w:rPr>
                <w:rFonts w:hint="default" w:ascii="Times New Roman" w:hAnsi="Times New Roman" w:cs="Times New Roman"/>
                <w:color w:val="auto"/>
                <w:sz w:val="24"/>
                <w:szCs w:val="24"/>
                <w:highlight w:val="none"/>
                <w:lang w:eastAsia="zh-CN"/>
              </w:rPr>
              <w:t>入</w:t>
            </w:r>
            <w:r>
              <w:rPr>
                <w:rFonts w:hint="default" w:ascii="Times New Roman" w:hAnsi="Times New Roman" w:cs="Times New Roman"/>
                <w:color w:val="auto"/>
                <w:sz w:val="24"/>
                <w:szCs w:val="24"/>
                <w:highlight w:val="none"/>
              </w:rPr>
              <w:t>广东阳东经济开发区污水处理厂处理</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本项目附近水体为那龙河（阳东北惯东莺-阳东北津段），根据《广东省地表水环境功能区划》（粤环</w:t>
            </w:r>
            <w:r>
              <w:rPr>
                <w:rFonts w:hint="default" w:ascii="Times New Roman" w:hAnsi="Times New Roman" w:cs="Times New Roman"/>
                <w:color w:val="auto"/>
                <w:sz w:val="24"/>
                <w:highlight w:val="none"/>
                <w:lang w:eastAsia="zh-CN"/>
              </w:rPr>
              <w:t>〔2011〕14号</w:t>
            </w:r>
            <w:r>
              <w:rPr>
                <w:rFonts w:hint="default" w:ascii="Times New Roman" w:hAnsi="Times New Roman" w:cs="Times New Roman"/>
                <w:color w:val="auto"/>
                <w:sz w:val="24"/>
                <w:highlight w:val="none"/>
              </w:rPr>
              <w:t>），那龙河（阳东北惯东莺-阳东北津段）属Ⅲ类水环境功能区，水环境质量目标为《地表水环境质量标准》（GB3838-2002）Ⅲ类水质标准。</w:t>
            </w:r>
            <w:r>
              <w:rPr>
                <w:rFonts w:hint="default" w:ascii="Times New Roman" w:hAnsi="Times New Roman" w:cs="Times New Roman"/>
                <w:color w:val="auto"/>
                <w:sz w:val="24"/>
                <w:highlight w:val="none"/>
                <w:lang w:val="en-US" w:eastAsia="zh-CN"/>
              </w:rPr>
              <w:t>那龙河下游设置有尖山国考监测断面。</w:t>
            </w:r>
          </w:p>
          <w:p w14:paraId="4D9F69E4">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50"/>
              <w:jc w:val="left"/>
              <w:textAlignment w:val="auto"/>
              <w:rPr>
                <w:rFonts w:hint="eastAsia" w:ascii="Times New Roman" w:hAnsi="Times New Roman" w:cs="Times New Roman"/>
                <w:b w:val="0"/>
                <w:bCs w:val="0"/>
                <w:color w:val="auto"/>
                <w:kern w:val="0"/>
                <w:sz w:val="24"/>
                <w:szCs w:val="24"/>
                <w:highlight w:val="none"/>
                <w:lang w:val="en-US" w:eastAsia="zh-CN"/>
              </w:rPr>
            </w:pPr>
            <w:r>
              <w:rPr>
                <w:rFonts w:hint="eastAsia" w:ascii="Times New Roman" w:hAnsi="Times New Roman" w:cs="Times New Roman"/>
                <w:b w:val="0"/>
                <w:bCs w:val="0"/>
                <w:color w:val="auto"/>
                <w:kern w:val="0"/>
                <w:sz w:val="24"/>
                <w:szCs w:val="24"/>
                <w:highlight w:val="none"/>
                <w:lang w:val="en-US" w:eastAsia="zh-CN"/>
              </w:rPr>
              <w:t>为了解项目所在地周围地表水环境质量现状，根据</w:t>
            </w:r>
            <w:r>
              <w:rPr>
                <w:rFonts w:hint="default" w:ascii="Times New Roman" w:hAnsi="Times New Roman" w:cs="Times New Roman"/>
                <w:b w:val="0"/>
                <w:bCs w:val="0"/>
                <w:color w:val="auto"/>
                <w:kern w:val="0"/>
                <w:sz w:val="24"/>
                <w:szCs w:val="24"/>
                <w:highlight w:val="none"/>
                <w:lang w:val="en-US" w:eastAsia="zh-CN"/>
              </w:rPr>
              <w:t>《建设项目环境影响</w:t>
            </w:r>
            <w:r>
              <w:rPr>
                <w:rFonts w:hint="eastAsia" w:ascii="Times New Roman" w:hAnsi="Times New Roman" w:cs="Times New Roman"/>
                <w:b w:val="0"/>
                <w:bCs w:val="0"/>
                <w:color w:val="auto"/>
                <w:kern w:val="0"/>
                <w:sz w:val="24"/>
                <w:szCs w:val="24"/>
                <w:highlight w:val="none"/>
                <w:lang w:val="en-US" w:eastAsia="zh-CN"/>
              </w:rPr>
              <w:t>报告表编制技术指南（污染影响类）</w:t>
            </w:r>
            <w:r>
              <w:rPr>
                <w:rFonts w:hint="default" w:ascii="Times New Roman" w:hAnsi="Times New Roman" w:cs="Times New Roman"/>
                <w:b w:val="0"/>
                <w:bCs w:val="0"/>
                <w:color w:val="auto"/>
                <w:kern w:val="0"/>
                <w:sz w:val="24"/>
                <w:szCs w:val="24"/>
                <w:highlight w:val="none"/>
                <w:lang w:val="en-US" w:eastAsia="zh-CN"/>
              </w:rPr>
              <w:t>》</w:t>
            </w:r>
            <w:r>
              <w:rPr>
                <w:rFonts w:hint="eastAsia" w:ascii="Times New Roman" w:hAnsi="Times New Roman" w:cs="Times New Roman"/>
                <w:b w:val="0"/>
                <w:bCs w:val="0"/>
                <w:color w:val="auto"/>
                <w:kern w:val="0"/>
                <w:sz w:val="24"/>
                <w:szCs w:val="24"/>
                <w:highlight w:val="none"/>
                <w:lang w:val="en-US" w:eastAsia="zh-CN"/>
              </w:rPr>
              <w:t>地表水环境“引用生态环境主管部门发布的水环境质量数据或地表水达标情况的结论。”本次环境影响评价引用对象为阳江市生态环境局发布的《2024年阳江市生态环境质量状况公报》。出处如下：</w:t>
            </w:r>
          </w:p>
          <w:p w14:paraId="342A23DE">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jc w:val="both"/>
              <w:textAlignment w:val="auto"/>
              <w:rPr>
                <w:rFonts w:hint="eastAsia"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1"/>
                <w:szCs w:val="21"/>
                <w:highlight w:val="none"/>
                <w:lang w:val="en-US" w:eastAsia="zh-CN"/>
              </w:rPr>
              <w:t>http://www.yangjiang.gov.cn/yjsthjj/gkmlpt/content/0/876/post_876993.html#681</w:t>
            </w:r>
          </w:p>
          <w:p w14:paraId="3A62828D">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jc w:val="both"/>
              <w:textAlignment w:val="auto"/>
              <w:rPr>
                <w:rFonts w:hint="default" w:ascii="Times New Roman" w:hAnsi="Times New Roman" w:cs="Times New Roman"/>
                <w:b w:val="0"/>
                <w:bCs w:val="0"/>
                <w:color w:val="auto"/>
                <w:kern w:val="0"/>
                <w:sz w:val="24"/>
                <w:szCs w:val="24"/>
                <w:highlight w:val="none"/>
                <w:lang w:val="en-US" w:eastAsia="zh-CN"/>
              </w:rPr>
            </w:pPr>
            <w:r>
              <w:rPr>
                <w:rFonts w:hint="default" w:ascii="Times New Roman" w:hAnsi="Times New Roman" w:cs="Times New Roman"/>
                <w:b w:val="0"/>
                <w:bCs w:val="0"/>
                <w:color w:val="auto"/>
                <w:kern w:val="0"/>
                <w:sz w:val="24"/>
                <w:szCs w:val="24"/>
                <w:highlight w:val="none"/>
                <w:lang w:val="en-US" w:eastAsia="zh-CN"/>
              </w:rPr>
              <w:t>根据《202</w:t>
            </w:r>
            <w:r>
              <w:rPr>
                <w:rFonts w:hint="eastAsia" w:ascii="Times New Roman" w:hAnsi="Times New Roman" w:cs="Times New Roman"/>
                <w:b w:val="0"/>
                <w:bCs w:val="0"/>
                <w:color w:val="auto"/>
                <w:kern w:val="0"/>
                <w:sz w:val="24"/>
                <w:szCs w:val="24"/>
                <w:highlight w:val="none"/>
                <w:lang w:val="en-US" w:eastAsia="zh-CN"/>
              </w:rPr>
              <w:t>4</w:t>
            </w:r>
            <w:r>
              <w:rPr>
                <w:rFonts w:hint="default" w:ascii="Times New Roman" w:hAnsi="Times New Roman" w:cs="Times New Roman"/>
                <w:b w:val="0"/>
                <w:bCs w:val="0"/>
                <w:color w:val="auto"/>
                <w:kern w:val="0"/>
                <w:sz w:val="24"/>
                <w:szCs w:val="24"/>
                <w:highlight w:val="none"/>
                <w:lang w:val="en-US" w:eastAsia="zh-CN"/>
              </w:rPr>
              <w:t xml:space="preserve"> 年阳江市生态环境质量状况公报》的统计，江城、埠场、尖山、寿 长、大泉、中朗、河口镇、三甲电站等8个国考断面水质均为地表水Ⅱ～Ⅲ类，全部断面达到其考核目标要求。</w:t>
            </w:r>
            <w:r>
              <w:rPr>
                <w:rFonts w:hint="eastAsia" w:ascii="Times New Roman" w:hAnsi="Times New Roman" w:cs="Times New Roman"/>
                <w:b w:val="0"/>
                <w:bCs w:val="0"/>
                <w:color w:val="auto"/>
                <w:kern w:val="0"/>
                <w:sz w:val="24"/>
                <w:szCs w:val="24"/>
                <w:highlight w:val="none"/>
                <w:lang w:val="en-US" w:eastAsia="zh-CN"/>
              </w:rPr>
              <w:t>截图如下：</w:t>
            </w:r>
          </w:p>
          <w:p w14:paraId="2320C0FD">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Times New Roman" w:hAnsi="Times New Roman" w:cs="Times New Roman"/>
                <w:b w:val="0"/>
                <w:bCs w:val="0"/>
                <w:color w:val="auto"/>
                <w:kern w:val="0"/>
                <w:sz w:val="24"/>
                <w:szCs w:val="24"/>
                <w:highlight w:val="none"/>
                <w:lang w:val="en-US" w:eastAsia="zh-CN"/>
              </w:rPr>
            </w:pPr>
            <w:r>
              <w:rPr>
                <w:rFonts w:hint="default" w:ascii="Times New Roman" w:hAnsi="Times New Roman" w:cs="Times New Roman"/>
                <w:color w:val="auto"/>
                <w:highlight w:val="none"/>
              </w:rPr>
              <w:drawing>
                <wp:inline distT="0" distB="0" distL="114300" distR="114300">
                  <wp:extent cx="4998085" cy="1442085"/>
                  <wp:effectExtent l="0" t="0" r="5715" b="5715"/>
                  <wp:docPr id="104" name="图片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394"/>
                          <pic:cNvPicPr>
                            <a:picLocks noChangeAspect="1"/>
                          </pic:cNvPicPr>
                        </pic:nvPicPr>
                        <pic:blipFill>
                          <a:blip r:embed="rId13"/>
                          <a:stretch>
                            <a:fillRect/>
                          </a:stretch>
                        </pic:blipFill>
                        <pic:spPr>
                          <a:xfrm>
                            <a:off x="0" y="0"/>
                            <a:ext cx="4998085" cy="1442085"/>
                          </a:xfrm>
                          <a:prstGeom prst="rect">
                            <a:avLst/>
                          </a:prstGeom>
                          <a:noFill/>
                          <a:ln>
                            <a:noFill/>
                          </a:ln>
                        </pic:spPr>
                      </pic:pic>
                    </a:graphicData>
                  </a:graphic>
                </wp:inline>
              </w:drawing>
            </w:r>
          </w:p>
          <w:p w14:paraId="2B8633CF">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jc w:val="center"/>
              <w:textAlignment w:val="auto"/>
              <w:rPr>
                <w:rFonts w:hint="default" w:ascii="Times New Roman" w:hAnsi="Times New Roman" w:cs="Times New Roman"/>
                <w:b/>
                <w:bCs/>
                <w:color w:val="auto"/>
                <w:kern w:val="0"/>
                <w:sz w:val="21"/>
                <w:szCs w:val="21"/>
                <w:highlight w:val="none"/>
                <w:lang w:val="en-US" w:eastAsia="zh-CN"/>
              </w:rPr>
            </w:pPr>
            <w:r>
              <w:rPr>
                <w:rFonts w:hint="eastAsia" w:ascii="Times New Roman" w:hAnsi="Times New Roman" w:cs="Times New Roman"/>
                <w:b/>
                <w:bCs/>
                <w:color w:val="auto"/>
                <w:kern w:val="0"/>
                <w:sz w:val="21"/>
                <w:szCs w:val="21"/>
                <w:highlight w:val="none"/>
                <w:lang w:val="en-US" w:eastAsia="zh-CN"/>
              </w:rPr>
              <w:t>图</w:t>
            </w:r>
            <w:r>
              <w:rPr>
                <w:rFonts w:hint="eastAsia" w:cs="Times New Roman"/>
                <w:b/>
                <w:bCs/>
                <w:color w:val="auto"/>
                <w:kern w:val="0"/>
                <w:sz w:val="21"/>
                <w:szCs w:val="21"/>
                <w:highlight w:val="none"/>
                <w:lang w:val="en-US" w:eastAsia="zh-CN"/>
              </w:rPr>
              <w:t>3-1</w:t>
            </w:r>
            <w:r>
              <w:rPr>
                <w:rFonts w:hint="eastAsia" w:ascii="Times New Roman" w:hAnsi="Times New Roman" w:cs="Times New Roman"/>
                <w:b/>
                <w:bCs/>
                <w:color w:val="auto"/>
                <w:kern w:val="0"/>
                <w:sz w:val="21"/>
                <w:szCs w:val="21"/>
                <w:highlight w:val="none"/>
                <w:lang w:val="en-US" w:eastAsia="zh-CN"/>
              </w:rPr>
              <w:t xml:space="preserve"> 生态环境质量状况公报地表水部分截图</w:t>
            </w:r>
          </w:p>
          <w:p w14:paraId="18D8693A">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jc w:val="both"/>
              <w:textAlignment w:val="auto"/>
              <w:rPr>
                <w:rFonts w:hint="default" w:ascii="Times New Roman" w:hAnsi="Times New Roman" w:eastAsia="宋体" w:cs="Times New Roman"/>
                <w:color w:val="auto"/>
                <w:sz w:val="21"/>
                <w:szCs w:val="21"/>
                <w:highlight w:val="none"/>
              </w:rPr>
            </w:pPr>
            <w:r>
              <w:rPr>
                <w:rFonts w:hint="eastAsia" w:ascii="Times New Roman" w:hAnsi="Times New Roman" w:cs="Times New Roman"/>
                <w:b w:val="0"/>
                <w:bCs w:val="0"/>
                <w:color w:val="auto"/>
                <w:kern w:val="0"/>
                <w:sz w:val="24"/>
                <w:szCs w:val="24"/>
                <w:highlight w:val="none"/>
                <w:lang w:val="en-US" w:eastAsia="zh-CN"/>
              </w:rPr>
              <w:t>因此，项目所在区域地表水环境质量较好。</w:t>
            </w:r>
          </w:p>
          <w:p w14:paraId="586FDD0E">
            <w:pPr>
              <w:keepNext w:val="0"/>
              <w:keepLines w:val="0"/>
              <w:numPr>
                <w:ilvl w:val="0"/>
                <w:numId w:val="0"/>
              </w:numPr>
              <w:suppressLineNumbers w:val="0"/>
              <w:spacing w:before="0" w:beforeAutospacing="0" w:after="0" w:afterAutospacing="0" w:line="360" w:lineRule="auto"/>
              <w:ind w:left="0" w:right="0" w:firstLine="482" w:firstLineChars="200"/>
              <w:rPr>
                <w:rStyle w:val="36"/>
                <w:rFonts w:hint="default" w:ascii="Times New Roman" w:hAnsi="Times New Roman" w:eastAsia="宋体" w:cs="Times New Roman"/>
                <w:color w:val="auto"/>
                <w:kern w:val="0"/>
                <w:szCs w:val="20"/>
                <w:highlight w:val="none"/>
              </w:rPr>
            </w:pPr>
            <w:r>
              <w:rPr>
                <w:rFonts w:hint="default" w:ascii="Times New Roman" w:hAnsi="Times New Roman" w:eastAsia="宋体" w:cs="Times New Roman"/>
                <w:b/>
                <w:bCs/>
                <w:color w:val="auto"/>
                <w:sz w:val="24"/>
                <w:szCs w:val="32"/>
                <w:highlight w:val="none"/>
                <w:lang w:eastAsia="zh-CN"/>
              </w:rPr>
              <w:t>（</w:t>
            </w:r>
            <w:r>
              <w:rPr>
                <w:rFonts w:hint="default" w:ascii="Times New Roman" w:hAnsi="Times New Roman" w:eastAsia="宋体" w:cs="Times New Roman"/>
                <w:b/>
                <w:bCs/>
                <w:color w:val="auto"/>
                <w:sz w:val="24"/>
                <w:szCs w:val="32"/>
                <w:highlight w:val="none"/>
                <w:lang w:val="en-US" w:eastAsia="zh-CN"/>
              </w:rPr>
              <w:t>三</w:t>
            </w:r>
            <w:r>
              <w:rPr>
                <w:rFonts w:hint="default" w:ascii="Times New Roman" w:hAnsi="Times New Roman" w:eastAsia="宋体" w:cs="Times New Roman"/>
                <w:b/>
                <w:bCs/>
                <w:color w:val="auto"/>
                <w:sz w:val="24"/>
                <w:szCs w:val="32"/>
                <w:highlight w:val="none"/>
                <w:lang w:eastAsia="zh-CN"/>
              </w:rPr>
              <w:t>）</w:t>
            </w:r>
            <w:r>
              <w:rPr>
                <w:rFonts w:hint="default" w:ascii="Times New Roman" w:hAnsi="Times New Roman" w:eastAsia="宋体" w:cs="Times New Roman"/>
                <w:b/>
                <w:bCs/>
                <w:color w:val="auto"/>
                <w:sz w:val="24"/>
                <w:szCs w:val="32"/>
                <w:highlight w:val="none"/>
              </w:rPr>
              <w:t>声环境质量现状</w:t>
            </w:r>
          </w:p>
          <w:p w14:paraId="0763DD68">
            <w:pPr>
              <w:keepNext w:val="0"/>
              <w:keepLines w:val="0"/>
              <w:numPr>
                <w:ilvl w:val="0"/>
                <w:numId w:val="0"/>
              </w:numPr>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本项目位于</w:t>
            </w:r>
            <w:r>
              <w:rPr>
                <w:rFonts w:hint="eastAsia" w:cs="Times New Roman"/>
                <w:color w:val="auto"/>
                <w:sz w:val="24"/>
                <w:szCs w:val="32"/>
                <w:highlight w:val="none"/>
                <w:lang w:val="en-US" w:eastAsia="zh-CN"/>
              </w:rPr>
              <w:t>阳江市阳东区北惯镇金田六路西边及霍达七路南边BN-01-12a</w:t>
            </w:r>
            <w:r>
              <w:rPr>
                <w:rFonts w:hint="default" w:ascii="Times New Roman" w:hAnsi="Times New Roman" w:eastAsia="宋体" w:cs="Times New Roman"/>
                <w:color w:val="auto"/>
                <w:sz w:val="24"/>
                <w:szCs w:val="32"/>
                <w:highlight w:val="none"/>
                <w:lang w:val="en-US" w:eastAsia="zh-CN"/>
              </w:rPr>
              <w:t xml:space="preserve">。根据《声环境质量标准》（GB3096-2008）和《声环境功能区划分技术规范》（GB/T15190-2014）划分要求，项目所在地属于声环境3类区，执行《声环境质量标准》（GB3096-2008）3类标准（昼间≤65dB、夜间≤55dB）。本项目厂界外50m范围内无环境敏感目标，根据《建设项目环境影响报告表编制技术指南（污染影响类）（试行）》，无需进行声环境质量现状的调查。  </w:t>
            </w:r>
            <w:r>
              <w:rPr>
                <w:rFonts w:hint="default" w:ascii="Times New Roman" w:hAnsi="Times New Roman" w:eastAsia="宋体" w:cs="Times New Roman"/>
                <w:color w:val="auto"/>
                <w:sz w:val="24"/>
                <w:szCs w:val="32"/>
                <w:highlight w:val="none"/>
                <w:lang w:val="en-US" w:eastAsia="zh-CN"/>
              </w:rPr>
              <w:t xml:space="preserve">     </w:t>
            </w:r>
          </w:p>
          <w:p w14:paraId="0C9FE3C6">
            <w:pPr>
              <w:keepNext w:val="0"/>
              <w:keepLines w:val="0"/>
              <w:numPr>
                <w:ilvl w:val="0"/>
                <w:numId w:val="0"/>
              </w:numPr>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szCs w:val="32"/>
                <w:highlight w:val="none"/>
                <w:lang w:val="en-US" w:eastAsia="zh-CN"/>
              </w:rPr>
            </w:pPr>
            <w:r>
              <w:rPr>
                <w:rFonts w:hint="default" w:ascii="Times New Roman" w:hAnsi="Times New Roman" w:eastAsia="宋体" w:cs="Times New Roman"/>
                <w:b/>
                <w:bCs/>
                <w:color w:val="auto"/>
                <w:sz w:val="24"/>
                <w:szCs w:val="32"/>
                <w:highlight w:val="none"/>
                <w:lang w:val="en-US" w:eastAsia="zh-CN"/>
              </w:rPr>
              <w:t>（四）地下水、土壤环境质量现状</w:t>
            </w:r>
          </w:p>
          <w:p w14:paraId="699145FE">
            <w:pPr>
              <w:keepNext w:val="0"/>
              <w:keepLines w:val="0"/>
              <w:numPr>
                <w:ilvl w:val="0"/>
                <w:numId w:val="0"/>
              </w:numPr>
              <w:suppressLineNumbers w:val="0"/>
              <w:spacing w:before="0" w:beforeLines="0" w:beforeAutospacing="0" w:after="0" w:afterAutospacing="0" w:line="360" w:lineRule="auto"/>
              <w:ind w:left="0" w:right="0" w:firstLine="480" w:firstLineChars="200"/>
              <w:rPr>
                <w:rFonts w:hint="default" w:ascii="Times New Roman" w:hAnsi="Times New Roman" w:eastAsia="宋体" w:cs="Times New Roman"/>
                <w:b w:val="0"/>
                <w:bCs w:val="0"/>
                <w:color w:val="auto"/>
                <w:sz w:val="24"/>
                <w:szCs w:val="32"/>
                <w:highlight w:val="none"/>
                <w:lang w:val="en-US" w:eastAsia="zh-CN"/>
              </w:rPr>
            </w:pPr>
            <w:r>
              <w:rPr>
                <w:rFonts w:hint="default" w:ascii="Times New Roman" w:hAnsi="Times New Roman" w:eastAsia="宋体" w:cs="Times New Roman"/>
                <w:b w:val="0"/>
                <w:bCs w:val="0"/>
                <w:color w:val="auto"/>
                <w:sz w:val="24"/>
                <w:szCs w:val="32"/>
                <w:highlight w:val="none"/>
                <w:lang w:val="en-US" w:eastAsia="zh-CN"/>
              </w:rPr>
              <w:t>本项目属于纸制品/造纸和纸制品项目，运营过程产生的废气为有机废气，不产生及排放重金属污染物，故不涉及大气沉降；生产设备、原辅料、产品等均位于厂房车间内，厂区内铺设了规范化的雨水管网，与市政雨水管道相连，不存在土壤地面漫流污染途径；项目用地范围内进行了硬底化处理，三级化粪池、危废暂存间四周做好相关的防腐防渗等措施后，故不存在垂直入渗途径不存在地下水、土壤污染途径。因此，本项目不需进行土壤、地下水环境质量现状监测。</w:t>
            </w:r>
          </w:p>
          <w:p w14:paraId="02D6D5DF">
            <w:pPr>
              <w:keepNext w:val="0"/>
              <w:keepLines w:val="0"/>
              <w:numPr>
                <w:ilvl w:val="0"/>
                <w:numId w:val="0"/>
              </w:numPr>
              <w:suppressLineNumbers w:val="0"/>
              <w:spacing w:before="0" w:beforeLines="0" w:beforeAutospacing="0" w:after="0" w:afterAutospacing="0" w:line="360" w:lineRule="auto"/>
              <w:ind w:left="0" w:right="0" w:firstLine="482" w:firstLineChars="200"/>
              <w:rPr>
                <w:rFonts w:hint="default" w:ascii="Times New Roman" w:hAnsi="Times New Roman" w:eastAsia="宋体" w:cs="Times New Roman"/>
                <w:b/>
                <w:bCs/>
                <w:color w:val="auto"/>
                <w:sz w:val="24"/>
                <w:szCs w:val="32"/>
                <w:highlight w:val="none"/>
              </w:rPr>
            </w:pPr>
            <w:r>
              <w:rPr>
                <w:rFonts w:hint="default" w:ascii="Times New Roman" w:hAnsi="Times New Roman" w:eastAsia="宋体" w:cs="Times New Roman"/>
                <w:b/>
                <w:bCs/>
                <w:color w:val="auto"/>
                <w:sz w:val="24"/>
                <w:szCs w:val="32"/>
                <w:highlight w:val="none"/>
                <w:lang w:eastAsia="zh-CN"/>
              </w:rPr>
              <w:t>（</w:t>
            </w:r>
            <w:r>
              <w:rPr>
                <w:rFonts w:hint="default" w:ascii="Times New Roman" w:hAnsi="Times New Roman" w:eastAsia="宋体" w:cs="Times New Roman"/>
                <w:b/>
                <w:bCs/>
                <w:color w:val="auto"/>
                <w:sz w:val="24"/>
                <w:szCs w:val="32"/>
                <w:highlight w:val="none"/>
                <w:lang w:val="en-US" w:eastAsia="zh-CN"/>
              </w:rPr>
              <w:t>五</w:t>
            </w:r>
            <w:r>
              <w:rPr>
                <w:rFonts w:hint="default" w:ascii="Times New Roman" w:hAnsi="Times New Roman" w:eastAsia="宋体" w:cs="Times New Roman"/>
                <w:b/>
                <w:bCs/>
                <w:color w:val="auto"/>
                <w:sz w:val="24"/>
                <w:szCs w:val="32"/>
                <w:highlight w:val="none"/>
                <w:lang w:eastAsia="zh-CN"/>
              </w:rPr>
              <w:t>）</w:t>
            </w:r>
            <w:r>
              <w:rPr>
                <w:rFonts w:hint="default" w:ascii="Times New Roman" w:hAnsi="Times New Roman" w:eastAsia="宋体" w:cs="Times New Roman"/>
                <w:b/>
                <w:bCs/>
                <w:color w:val="auto"/>
                <w:sz w:val="24"/>
                <w:szCs w:val="32"/>
                <w:highlight w:val="none"/>
              </w:rPr>
              <w:t>生态环境质量现状</w:t>
            </w:r>
          </w:p>
          <w:p w14:paraId="5BA9FF0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szCs w:val="32"/>
                <w:highlight w:val="none"/>
              </w:rPr>
              <w:t>本项目位于</w:t>
            </w:r>
            <w:r>
              <w:rPr>
                <w:rFonts w:hint="eastAsia" w:cs="Times New Roman"/>
                <w:color w:val="auto"/>
                <w:sz w:val="24"/>
                <w:szCs w:val="32"/>
                <w:highlight w:val="none"/>
                <w:lang w:eastAsia="zh-CN"/>
              </w:rPr>
              <w:t>阳江市阳东区北惯镇金田六路西边及霍达七路南边BN-01-12a</w:t>
            </w:r>
            <w:r>
              <w:rPr>
                <w:rFonts w:hint="default" w:ascii="Times New Roman" w:hAnsi="Times New Roman" w:eastAsia="宋体" w:cs="Times New Roman"/>
                <w:color w:val="auto"/>
                <w:sz w:val="24"/>
                <w:szCs w:val="32"/>
                <w:highlight w:val="none"/>
              </w:rPr>
              <w:t>，项目所在区域为工业区，用地性质为工业用地，不新增占地和建筑物。根据《建设项目环境影响报告表编制技术指南》，不用进行生态现状调查。</w:t>
            </w:r>
          </w:p>
        </w:tc>
      </w:tr>
      <w:tr w14:paraId="2DCEBF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28" w:hRule="atLeast"/>
          <w:jc w:val="center"/>
        </w:trPr>
        <w:tc>
          <w:tcPr>
            <w:tcW w:w="525" w:type="dxa"/>
            <w:noWrap w:val="0"/>
            <w:vAlign w:val="center"/>
          </w:tcPr>
          <w:p w14:paraId="69D7B36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环境</w:t>
            </w:r>
          </w:p>
          <w:p w14:paraId="2E4ADDE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保护</w:t>
            </w:r>
          </w:p>
          <w:p w14:paraId="6C48A15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目标</w:t>
            </w:r>
          </w:p>
        </w:tc>
        <w:tc>
          <w:tcPr>
            <w:tcW w:w="8465" w:type="dxa"/>
            <w:noWrap w:val="0"/>
            <w:vAlign w:val="center"/>
          </w:tcPr>
          <w:p w14:paraId="4B6278FB">
            <w:pPr>
              <w:keepNext w:val="0"/>
              <w:keepLines w:val="0"/>
              <w:pageBreakBefore w:val="0"/>
              <w:widowControl w:val="0"/>
              <w:suppressLineNumbers w:val="0"/>
              <w:kinsoku/>
              <w:wordWrap/>
              <w:overflowPunct/>
              <w:topLinePunct w:val="0"/>
              <w:autoSpaceDE/>
              <w:autoSpaceDN/>
              <w:bidi w:val="0"/>
              <w:adjustRightInd/>
              <w:snapToGrid w:val="0"/>
              <w:spacing w:before="157" w:beforeLines="50" w:beforeAutospacing="0" w:after="0" w:afterAutospacing="0" w:line="360" w:lineRule="auto"/>
              <w:ind w:left="0" w:right="0" w:firstLine="470" w:firstLineChars="196"/>
              <w:textAlignment w:val="auto"/>
              <w:rPr>
                <w:rFonts w:hint="default" w:ascii="Times New Roman" w:hAnsi="Times New Roman" w:eastAsia="宋体" w:cs="Times New Roman"/>
                <w:b w:val="0"/>
                <w:bCs w:val="0"/>
                <w:color w:val="auto"/>
                <w:sz w:val="24"/>
                <w:highlight w:val="none"/>
              </w:rPr>
            </w:pPr>
            <w:r>
              <w:rPr>
                <w:rFonts w:hint="default" w:ascii="Times New Roman" w:hAnsi="Times New Roman" w:eastAsia="宋体" w:cs="Times New Roman"/>
                <w:b w:val="0"/>
                <w:bCs w:val="0"/>
                <w:color w:val="auto"/>
                <w:sz w:val="24"/>
                <w:highlight w:val="none"/>
              </w:rPr>
              <w:t>本项目评价范围及附近无名胜风景区等需要特殊保护的对象，主要的环境保护目标是维持项目所在地域范围内的水、大气和噪声环境质量现有水平。</w:t>
            </w:r>
          </w:p>
          <w:p w14:paraId="7A6ECD20">
            <w:pPr>
              <w:keepNext w:val="0"/>
              <w:keepLines w:val="0"/>
              <w:suppressLineNumbers w:val="0"/>
              <w:snapToGrid w:val="0"/>
              <w:spacing w:before="0" w:beforeAutospacing="0" w:after="0" w:afterAutospacing="0" w:line="360" w:lineRule="auto"/>
              <w:ind w:left="0" w:right="0" w:firstLine="472" w:firstLineChars="196"/>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1、地</w:t>
            </w:r>
            <w:r>
              <w:rPr>
                <w:rFonts w:hint="default" w:ascii="Times New Roman" w:hAnsi="Times New Roman" w:eastAsia="宋体" w:cs="Times New Roman"/>
                <w:b/>
                <w:bCs/>
                <w:color w:val="auto"/>
                <w:sz w:val="24"/>
                <w:highlight w:val="none"/>
                <w:lang w:val="en-US" w:eastAsia="zh-CN"/>
              </w:rPr>
              <w:t>下</w:t>
            </w:r>
            <w:r>
              <w:rPr>
                <w:rFonts w:hint="default" w:ascii="Times New Roman" w:hAnsi="Times New Roman" w:eastAsia="宋体" w:cs="Times New Roman"/>
                <w:b/>
                <w:bCs/>
                <w:color w:val="auto"/>
                <w:sz w:val="24"/>
                <w:highlight w:val="none"/>
              </w:rPr>
              <w:t>水环境保护目标</w:t>
            </w:r>
          </w:p>
          <w:p w14:paraId="2F1AB837">
            <w:pPr>
              <w:keepNext w:val="0"/>
              <w:keepLines w:val="0"/>
              <w:suppressLineNumbers w:val="0"/>
              <w:snapToGrid w:val="0"/>
              <w:spacing w:before="0" w:beforeAutospacing="0" w:after="0" w:afterAutospacing="0" w:line="360" w:lineRule="auto"/>
              <w:ind w:left="0" w:right="0" w:firstLine="470" w:firstLineChars="196"/>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项目厂界外500米范围内无地下水集中式饮用水水源和热水、矿泉水、温泉等特殊地下水资源保护目标。</w:t>
            </w:r>
          </w:p>
          <w:p w14:paraId="698413D6">
            <w:pPr>
              <w:keepNext w:val="0"/>
              <w:keepLines w:val="0"/>
              <w:suppressLineNumbers w:val="0"/>
              <w:snapToGrid w:val="0"/>
              <w:spacing w:before="0" w:beforeAutospacing="0" w:after="0" w:afterAutospacing="0" w:line="360" w:lineRule="auto"/>
              <w:ind w:left="0" w:right="0" w:firstLine="472" w:firstLineChars="196"/>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2、环境空气保护目标</w:t>
            </w:r>
          </w:p>
          <w:p w14:paraId="5B543B6B">
            <w:pPr>
              <w:keepNext w:val="0"/>
              <w:keepLines w:val="0"/>
              <w:suppressLineNumbers w:val="0"/>
              <w:snapToGrid w:val="0"/>
              <w:spacing w:before="0" w:beforeAutospacing="0" w:after="0" w:afterAutospacing="0" w:line="360" w:lineRule="auto"/>
              <w:ind w:left="0" w:right="0" w:firstLine="470" w:firstLineChars="196"/>
              <w:rPr>
                <w:rFonts w:hint="default" w:ascii="Times New Roman" w:hAnsi="Times New Roman" w:eastAsia="宋体" w:cs="Times New Roman"/>
                <w:b w:val="0"/>
                <w:bCs w:val="0"/>
                <w:color w:val="auto"/>
                <w:sz w:val="24"/>
                <w:highlight w:val="none"/>
              </w:rPr>
            </w:pPr>
            <w:r>
              <w:rPr>
                <w:rFonts w:hint="default" w:ascii="Times New Roman" w:hAnsi="Times New Roman" w:eastAsia="宋体" w:cs="Times New Roman"/>
                <w:color w:val="auto"/>
                <w:sz w:val="24"/>
                <w:highlight w:val="none"/>
                <w:lang w:val="en-US" w:eastAsia="zh-CN"/>
              </w:rPr>
              <w:t>经现场勘查，本项目厂界外500米范围内无自然保护区、风景名胜区、居住区、文化区和农村地区中人群较集中的区域等保护目标。</w:t>
            </w:r>
          </w:p>
          <w:p w14:paraId="2CE42698">
            <w:pPr>
              <w:keepNext w:val="0"/>
              <w:keepLines w:val="0"/>
              <w:suppressLineNumbers w:val="0"/>
              <w:snapToGrid w:val="0"/>
              <w:spacing w:before="0" w:beforeAutospacing="0" w:after="0" w:afterAutospacing="0" w:line="360" w:lineRule="auto"/>
              <w:ind w:left="0" w:right="0" w:firstLine="472" w:firstLineChars="196"/>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3、声环境保护目标</w:t>
            </w:r>
          </w:p>
          <w:p w14:paraId="48AE0F2C">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项目厂界外50m范围内无声环境保护目标。</w:t>
            </w:r>
          </w:p>
          <w:p w14:paraId="42DE5925">
            <w:pPr>
              <w:keepNext w:val="0"/>
              <w:keepLines w:val="0"/>
              <w:suppressLineNumbers w:val="0"/>
              <w:snapToGrid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4、生态环境保护目标</w:t>
            </w:r>
          </w:p>
          <w:p w14:paraId="48D918E7">
            <w:pPr>
              <w:keepNext w:val="0"/>
              <w:keepLines w:val="0"/>
              <w:suppressLineNumbers w:val="0"/>
              <w:tabs>
                <w:tab w:val="left" w:pos="1770"/>
              </w:tabs>
              <w:adjustRightInd w:val="0"/>
              <w:snapToGrid w:val="0"/>
              <w:spacing w:before="0" w:beforeAutospacing="0" w:after="0" w:afterAutospacing="0" w:line="360" w:lineRule="auto"/>
              <w:ind w:left="0" w:right="0" w:firstLine="431"/>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项目</w:t>
            </w:r>
            <w:r>
              <w:rPr>
                <w:rFonts w:hint="default" w:ascii="Times New Roman" w:hAnsi="Times New Roman" w:eastAsia="宋体" w:cs="Times New Roman"/>
                <w:color w:val="auto"/>
                <w:sz w:val="24"/>
                <w:highlight w:val="none"/>
                <w:lang w:val="en-US" w:eastAsia="zh-CN"/>
              </w:rPr>
              <w:t>租赁</w:t>
            </w:r>
            <w:r>
              <w:rPr>
                <w:rFonts w:hint="eastAsia" w:cs="Times New Roman"/>
                <w:color w:val="auto"/>
                <w:sz w:val="24"/>
                <w:highlight w:val="none"/>
                <w:lang w:val="en-US" w:eastAsia="zh-CN"/>
              </w:rPr>
              <w:t>已建工业</w:t>
            </w:r>
            <w:r>
              <w:rPr>
                <w:rFonts w:hint="default" w:ascii="Times New Roman" w:hAnsi="Times New Roman" w:eastAsia="宋体" w:cs="Times New Roman"/>
                <w:color w:val="auto"/>
                <w:sz w:val="24"/>
                <w:highlight w:val="none"/>
                <w:lang w:val="en-US" w:eastAsia="zh-CN"/>
              </w:rPr>
              <w:t>厂房进行生产，无新增用地，</w:t>
            </w:r>
            <w:r>
              <w:rPr>
                <w:rFonts w:hint="default" w:ascii="Times New Roman" w:hAnsi="Times New Roman" w:eastAsia="宋体" w:cs="Times New Roman"/>
                <w:color w:val="auto"/>
                <w:sz w:val="24"/>
                <w:highlight w:val="none"/>
              </w:rPr>
              <w:t>用地范围内无生态环境保护目标。</w:t>
            </w:r>
          </w:p>
        </w:tc>
      </w:tr>
      <w:tr w14:paraId="337C83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38" w:hRule="atLeast"/>
          <w:jc w:val="center"/>
        </w:trPr>
        <w:tc>
          <w:tcPr>
            <w:tcW w:w="525" w:type="dxa"/>
            <w:noWrap w:val="0"/>
            <w:tcMar>
              <w:left w:w="28" w:type="dxa"/>
              <w:right w:w="28" w:type="dxa"/>
            </w:tcMar>
            <w:vAlign w:val="center"/>
          </w:tcPr>
          <w:p w14:paraId="31C62C3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污染</w:t>
            </w:r>
          </w:p>
          <w:p w14:paraId="76BA3F1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物排</w:t>
            </w:r>
          </w:p>
          <w:p w14:paraId="6DDDBB8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放控</w:t>
            </w:r>
          </w:p>
          <w:p w14:paraId="33673FB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制标</w:t>
            </w:r>
          </w:p>
          <w:p w14:paraId="462A2D1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准</w:t>
            </w:r>
          </w:p>
        </w:tc>
        <w:tc>
          <w:tcPr>
            <w:tcW w:w="8465" w:type="dxa"/>
            <w:noWrap w:val="0"/>
            <w:vAlign w:val="center"/>
          </w:tcPr>
          <w:p w14:paraId="3C267C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1、水污染物排放标准</w:t>
            </w:r>
          </w:p>
          <w:p w14:paraId="195C8C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rPr>
              <w:t>本项目运营期主要排放员工的生活污水，生活污水经三级化粪池后达到</w:t>
            </w:r>
            <w:r>
              <w:rPr>
                <w:rFonts w:hint="default" w:ascii="Times New Roman" w:hAnsi="Times New Roman" w:eastAsia="宋体" w:cs="Times New Roman"/>
                <w:color w:val="auto"/>
                <w:sz w:val="24"/>
                <w:szCs w:val="24"/>
                <w:highlight w:val="none"/>
              </w:rPr>
              <w:t>广东省《水污染物排放限值》(DB44/26-2001)第二时段三级标准</w:t>
            </w:r>
            <w:r>
              <w:rPr>
                <w:rFonts w:hint="default" w:ascii="Times New Roman" w:hAnsi="Times New Roman" w:eastAsia="宋体" w:cs="Times New Roman"/>
                <w:color w:val="auto"/>
                <w:sz w:val="24"/>
                <w:szCs w:val="24"/>
                <w:highlight w:val="none"/>
                <w:lang w:val="en-US" w:eastAsia="zh-CN"/>
              </w:rPr>
              <w:t>广东阳东经济开发区污水处理厂设计进水水质要求两者的较严值后</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通过市政污水管网进入广东阳东经济开发区污水处理厂处理。</w:t>
            </w:r>
          </w:p>
          <w:p w14:paraId="70072321">
            <w:pPr>
              <w:pStyle w:val="74"/>
              <w:suppressLineNumbers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表</w:t>
            </w:r>
            <w:r>
              <w:rPr>
                <w:rFonts w:hint="eastAsia" w:cs="Times New Roman"/>
                <w:color w:val="auto"/>
                <w:szCs w:val="21"/>
                <w:highlight w:val="none"/>
                <w:lang w:val="en-US" w:eastAsia="zh-CN"/>
              </w:rPr>
              <w:t>3-2</w:t>
            </w:r>
            <w:r>
              <w:rPr>
                <w:rFonts w:hint="default" w:ascii="Times New Roman" w:hAnsi="Times New Roman" w:eastAsia="宋体" w:cs="Times New Roman"/>
                <w:color w:val="auto"/>
                <w:szCs w:val="21"/>
                <w:highlight w:val="none"/>
              </w:rPr>
              <w:t xml:space="preserve">  水污染物排放标准（单位：mg/L，pH除外）</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1"/>
              <w:gridCol w:w="581"/>
              <w:gridCol w:w="1013"/>
              <w:gridCol w:w="966"/>
              <w:gridCol w:w="766"/>
              <w:gridCol w:w="766"/>
              <w:gridCol w:w="837"/>
              <w:gridCol w:w="761"/>
            </w:tblGrid>
            <w:tr w14:paraId="54AE3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2171" w:type="dxa"/>
                  <w:tcBorders>
                    <w:top w:val="single" w:color="auto" w:sz="4" w:space="0"/>
                    <w:left w:val="single" w:color="auto" w:sz="4" w:space="0"/>
                    <w:bottom w:val="single" w:color="auto" w:sz="4" w:space="0"/>
                    <w:right w:val="single" w:color="auto" w:sz="4" w:space="0"/>
                  </w:tcBorders>
                  <w:noWrap w:val="0"/>
                  <w:vAlign w:val="center"/>
                </w:tcPr>
                <w:p w14:paraId="1ADC370E">
                  <w:pPr>
                    <w:pStyle w:val="2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bCs/>
                      <w:color w:val="auto"/>
                      <w:kern w:val="2"/>
                      <w:position w:val="-20"/>
                      <w:sz w:val="21"/>
                      <w:szCs w:val="21"/>
                      <w:highlight w:val="none"/>
                    </w:rPr>
                  </w:pPr>
                  <w:r>
                    <w:rPr>
                      <w:rFonts w:hint="default" w:ascii="Times New Roman" w:hAnsi="Times New Roman" w:eastAsia="宋体" w:cs="Times New Roman"/>
                      <w:b/>
                      <w:bCs/>
                      <w:color w:val="auto"/>
                      <w:kern w:val="2"/>
                      <w:position w:val="-20"/>
                      <w:sz w:val="21"/>
                      <w:szCs w:val="21"/>
                      <w:highlight w:val="none"/>
                      <w:lang w:val="en-US" w:eastAsia="zh-CN" w:bidi="ar"/>
                    </w:rPr>
                    <w:t>标准</w:t>
                  </w:r>
                </w:p>
              </w:tc>
              <w:tc>
                <w:tcPr>
                  <w:tcW w:w="581" w:type="dxa"/>
                  <w:tcBorders>
                    <w:top w:val="single" w:color="auto" w:sz="4" w:space="0"/>
                    <w:left w:val="nil"/>
                    <w:bottom w:val="single" w:color="auto" w:sz="4" w:space="0"/>
                    <w:right w:val="single" w:color="auto" w:sz="4" w:space="0"/>
                  </w:tcBorders>
                  <w:noWrap w:val="0"/>
                  <w:vAlign w:val="center"/>
                </w:tcPr>
                <w:p w14:paraId="722B434D">
                  <w:pPr>
                    <w:pStyle w:val="2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bCs/>
                      <w:color w:val="auto"/>
                      <w:kern w:val="2"/>
                      <w:position w:val="-20"/>
                      <w:sz w:val="21"/>
                      <w:szCs w:val="21"/>
                      <w:highlight w:val="none"/>
                    </w:rPr>
                  </w:pPr>
                  <w:r>
                    <w:rPr>
                      <w:rFonts w:hint="default" w:ascii="Times New Roman" w:hAnsi="Times New Roman" w:eastAsia="宋体" w:cs="Times New Roman"/>
                      <w:b/>
                      <w:bCs/>
                      <w:color w:val="auto"/>
                      <w:kern w:val="2"/>
                      <w:position w:val="-20"/>
                      <w:sz w:val="21"/>
                      <w:szCs w:val="21"/>
                      <w:highlight w:val="none"/>
                      <w:lang w:val="en-US" w:eastAsia="zh-CN" w:bidi="ar"/>
                    </w:rPr>
                    <w:t>pH</w:t>
                  </w:r>
                </w:p>
              </w:tc>
              <w:tc>
                <w:tcPr>
                  <w:tcW w:w="1013" w:type="dxa"/>
                  <w:tcBorders>
                    <w:top w:val="single" w:color="auto" w:sz="4" w:space="0"/>
                    <w:left w:val="nil"/>
                    <w:bottom w:val="single" w:color="auto" w:sz="4" w:space="0"/>
                    <w:right w:val="single" w:color="auto" w:sz="4" w:space="0"/>
                  </w:tcBorders>
                  <w:noWrap w:val="0"/>
                  <w:vAlign w:val="center"/>
                </w:tcPr>
                <w:p w14:paraId="3824726E">
                  <w:pPr>
                    <w:pStyle w:val="2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bCs/>
                      <w:color w:val="auto"/>
                      <w:kern w:val="2"/>
                      <w:position w:val="-20"/>
                      <w:sz w:val="21"/>
                      <w:szCs w:val="21"/>
                      <w:highlight w:val="none"/>
                    </w:rPr>
                  </w:pPr>
                  <w:r>
                    <w:rPr>
                      <w:rFonts w:hint="default" w:ascii="Times New Roman" w:hAnsi="Times New Roman" w:eastAsia="宋体" w:cs="Times New Roman"/>
                      <w:b/>
                      <w:bCs/>
                      <w:color w:val="auto"/>
                      <w:kern w:val="2"/>
                      <w:position w:val="-20"/>
                      <w:sz w:val="21"/>
                      <w:szCs w:val="21"/>
                      <w:highlight w:val="none"/>
                      <w:lang w:val="en-US" w:eastAsia="zh-CN" w:bidi="ar"/>
                    </w:rPr>
                    <w:t>CODcr</w:t>
                  </w:r>
                </w:p>
              </w:tc>
              <w:tc>
                <w:tcPr>
                  <w:tcW w:w="966" w:type="dxa"/>
                  <w:tcBorders>
                    <w:top w:val="single" w:color="auto" w:sz="4" w:space="0"/>
                    <w:left w:val="nil"/>
                    <w:bottom w:val="single" w:color="auto" w:sz="4" w:space="0"/>
                    <w:right w:val="single" w:color="auto" w:sz="4" w:space="0"/>
                  </w:tcBorders>
                  <w:noWrap w:val="0"/>
                  <w:vAlign w:val="center"/>
                </w:tcPr>
                <w:p w14:paraId="1A0234F7">
                  <w:pPr>
                    <w:pStyle w:val="2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bCs/>
                      <w:color w:val="auto"/>
                      <w:kern w:val="2"/>
                      <w:position w:val="-20"/>
                      <w:sz w:val="21"/>
                      <w:szCs w:val="21"/>
                      <w:highlight w:val="none"/>
                    </w:rPr>
                  </w:pPr>
                  <w:r>
                    <w:rPr>
                      <w:rFonts w:hint="default" w:ascii="Times New Roman" w:hAnsi="Times New Roman" w:eastAsia="宋体" w:cs="Times New Roman"/>
                      <w:b/>
                      <w:bCs/>
                      <w:color w:val="auto"/>
                      <w:kern w:val="2"/>
                      <w:position w:val="-20"/>
                      <w:sz w:val="21"/>
                      <w:szCs w:val="21"/>
                      <w:highlight w:val="none"/>
                      <w:lang w:val="en-US" w:eastAsia="zh-CN" w:bidi="ar"/>
                    </w:rPr>
                    <w:t>BOD</w:t>
                  </w:r>
                  <w:r>
                    <w:rPr>
                      <w:rFonts w:hint="default" w:ascii="Times New Roman" w:hAnsi="Times New Roman" w:eastAsia="宋体" w:cs="Times New Roman"/>
                      <w:b/>
                      <w:bCs/>
                      <w:color w:val="auto"/>
                      <w:kern w:val="2"/>
                      <w:position w:val="-20"/>
                      <w:sz w:val="21"/>
                      <w:szCs w:val="21"/>
                      <w:highlight w:val="none"/>
                      <w:vertAlign w:val="subscript"/>
                      <w:lang w:val="en-US" w:eastAsia="zh-CN" w:bidi="ar"/>
                    </w:rPr>
                    <w:t>5</w:t>
                  </w:r>
                </w:p>
              </w:tc>
              <w:tc>
                <w:tcPr>
                  <w:tcW w:w="766" w:type="dxa"/>
                  <w:tcBorders>
                    <w:top w:val="single" w:color="auto" w:sz="4" w:space="0"/>
                    <w:left w:val="nil"/>
                    <w:bottom w:val="single" w:color="auto" w:sz="4" w:space="0"/>
                    <w:right w:val="single" w:color="auto" w:sz="4" w:space="0"/>
                  </w:tcBorders>
                  <w:noWrap w:val="0"/>
                  <w:vAlign w:val="center"/>
                </w:tcPr>
                <w:p w14:paraId="15AB732C">
                  <w:pPr>
                    <w:pStyle w:val="2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bCs/>
                      <w:color w:val="auto"/>
                      <w:kern w:val="2"/>
                      <w:position w:val="-20"/>
                      <w:sz w:val="21"/>
                      <w:szCs w:val="21"/>
                      <w:highlight w:val="none"/>
                    </w:rPr>
                  </w:pPr>
                  <w:r>
                    <w:rPr>
                      <w:rFonts w:hint="default" w:ascii="Times New Roman" w:hAnsi="Times New Roman" w:eastAsia="宋体" w:cs="Times New Roman"/>
                      <w:b/>
                      <w:bCs/>
                      <w:color w:val="auto"/>
                      <w:kern w:val="2"/>
                      <w:position w:val="-20"/>
                      <w:sz w:val="21"/>
                      <w:szCs w:val="21"/>
                      <w:highlight w:val="none"/>
                      <w:lang w:val="en-US" w:eastAsia="zh-CN" w:bidi="ar"/>
                    </w:rPr>
                    <w:t>SS</w:t>
                  </w:r>
                </w:p>
              </w:tc>
              <w:tc>
                <w:tcPr>
                  <w:tcW w:w="766" w:type="dxa"/>
                  <w:tcBorders>
                    <w:top w:val="single" w:color="auto" w:sz="4" w:space="0"/>
                    <w:left w:val="nil"/>
                    <w:bottom w:val="single" w:color="auto" w:sz="4" w:space="0"/>
                    <w:right w:val="single" w:color="auto" w:sz="4" w:space="0"/>
                  </w:tcBorders>
                  <w:noWrap w:val="0"/>
                  <w:vAlign w:val="center"/>
                </w:tcPr>
                <w:p w14:paraId="28637C10">
                  <w:pPr>
                    <w:pStyle w:val="2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bCs/>
                      <w:color w:val="auto"/>
                      <w:kern w:val="2"/>
                      <w:position w:val="-20"/>
                      <w:sz w:val="21"/>
                      <w:szCs w:val="21"/>
                      <w:highlight w:val="none"/>
                    </w:rPr>
                  </w:pPr>
                  <w:r>
                    <w:rPr>
                      <w:rFonts w:hint="default" w:ascii="Times New Roman" w:hAnsi="Times New Roman" w:eastAsia="宋体" w:cs="Times New Roman"/>
                      <w:b/>
                      <w:bCs/>
                      <w:color w:val="auto"/>
                      <w:kern w:val="2"/>
                      <w:position w:val="-20"/>
                      <w:sz w:val="21"/>
                      <w:szCs w:val="21"/>
                      <w:highlight w:val="none"/>
                      <w:lang w:val="en-US" w:eastAsia="zh-CN" w:bidi="ar"/>
                    </w:rPr>
                    <w:t>氨氮</w:t>
                  </w:r>
                </w:p>
              </w:tc>
              <w:tc>
                <w:tcPr>
                  <w:tcW w:w="837" w:type="dxa"/>
                  <w:tcBorders>
                    <w:top w:val="single" w:color="auto" w:sz="4" w:space="0"/>
                    <w:left w:val="nil"/>
                    <w:bottom w:val="single" w:color="auto" w:sz="4" w:space="0"/>
                    <w:right w:val="single" w:color="auto" w:sz="4" w:space="0"/>
                  </w:tcBorders>
                  <w:noWrap w:val="0"/>
                  <w:vAlign w:val="center"/>
                </w:tcPr>
                <w:p w14:paraId="373F74D1">
                  <w:pPr>
                    <w:pStyle w:val="2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bCs/>
                      <w:color w:val="auto"/>
                      <w:kern w:val="2"/>
                      <w:position w:val="-20"/>
                      <w:sz w:val="21"/>
                      <w:szCs w:val="21"/>
                      <w:highlight w:val="none"/>
                    </w:rPr>
                  </w:pPr>
                  <w:r>
                    <w:rPr>
                      <w:rFonts w:hint="default" w:ascii="Times New Roman" w:hAnsi="Times New Roman" w:eastAsia="宋体" w:cs="Times New Roman"/>
                      <w:b/>
                      <w:bCs/>
                      <w:color w:val="auto"/>
                      <w:kern w:val="2"/>
                      <w:position w:val="-20"/>
                      <w:sz w:val="21"/>
                      <w:szCs w:val="21"/>
                      <w:highlight w:val="none"/>
                      <w:lang w:val="en-US" w:eastAsia="zh-CN" w:bidi="ar"/>
                    </w:rPr>
                    <w:t>TP</w:t>
                  </w:r>
                </w:p>
              </w:tc>
              <w:tc>
                <w:tcPr>
                  <w:tcW w:w="761" w:type="dxa"/>
                  <w:tcBorders>
                    <w:top w:val="single" w:color="auto" w:sz="4" w:space="0"/>
                    <w:left w:val="nil"/>
                    <w:bottom w:val="single" w:color="auto" w:sz="4" w:space="0"/>
                    <w:right w:val="single" w:color="auto" w:sz="4" w:space="0"/>
                  </w:tcBorders>
                  <w:noWrap w:val="0"/>
                  <w:vAlign w:val="center"/>
                </w:tcPr>
                <w:p w14:paraId="66DCE92C">
                  <w:pPr>
                    <w:pStyle w:val="2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bCs/>
                      <w:color w:val="auto"/>
                      <w:kern w:val="2"/>
                      <w:position w:val="-20"/>
                      <w:sz w:val="21"/>
                      <w:szCs w:val="21"/>
                      <w:highlight w:val="none"/>
                    </w:rPr>
                  </w:pPr>
                  <w:r>
                    <w:rPr>
                      <w:rFonts w:hint="default" w:ascii="Times New Roman" w:hAnsi="Times New Roman" w:eastAsia="宋体" w:cs="Times New Roman"/>
                      <w:b/>
                      <w:bCs/>
                      <w:color w:val="auto"/>
                      <w:kern w:val="2"/>
                      <w:position w:val="-20"/>
                      <w:sz w:val="21"/>
                      <w:szCs w:val="21"/>
                      <w:highlight w:val="none"/>
                      <w:lang w:val="en-US" w:eastAsia="zh-CN" w:bidi="ar"/>
                    </w:rPr>
                    <w:t>TN</w:t>
                  </w:r>
                </w:p>
              </w:tc>
            </w:tr>
            <w:tr w14:paraId="0D34E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171" w:type="dxa"/>
                  <w:tcBorders>
                    <w:top w:val="single" w:color="auto" w:sz="4" w:space="0"/>
                    <w:left w:val="single" w:color="auto" w:sz="4" w:space="0"/>
                    <w:bottom w:val="single" w:color="auto" w:sz="4" w:space="0"/>
                    <w:right w:val="single" w:color="auto" w:sz="4" w:space="0"/>
                  </w:tcBorders>
                  <w:noWrap w:val="0"/>
                  <w:vAlign w:val="center"/>
                </w:tcPr>
                <w:p w14:paraId="299CFB0A">
                  <w:pPr>
                    <w:pStyle w:val="2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kern w:val="2"/>
                      <w:position w:val="-20"/>
                      <w:sz w:val="21"/>
                      <w:szCs w:val="21"/>
                      <w:highlight w:val="none"/>
                    </w:rPr>
                  </w:pPr>
                  <w:r>
                    <w:rPr>
                      <w:rFonts w:hint="default" w:ascii="Times New Roman" w:hAnsi="Times New Roman" w:eastAsia="宋体" w:cs="Times New Roman"/>
                      <w:color w:val="auto"/>
                      <w:kern w:val="2"/>
                      <w:position w:val="-20"/>
                      <w:sz w:val="21"/>
                      <w:szCs w:val="21"/>
                      <w:highlight w:val="none"/>
                      <w:lang w:val="en-US" w:eastAsia="zh-CN" w:bidi="ar"/>
                    </w:rPr>
                    <w:t>（DB44/26-2001）第二时段三级标准</w:t>
                  </w:r>
                </w:p>
              </w:tc>
              <w:tc>
                <w:tcPr>
                  <w:tcW w:w="581" w:type="dxa"/>
                  <w:tcBorders>
                    <w:top w:val="single" w:color="auto" w:sz="4" w:space="0"/>
                    <w:left w:val="nil"/>
                    <w:bottom w:val="single" w:color="auto" w:sz="4" w:space="0"/>
                    <w:right w:val="single" w:color="auto" w:sz="4" w:space="0"/>
                  </w:tcBorders>
                  <w:noWrap w:val="0"/>
                  <w:vAlign w:val="center"/>
                </w:tcPr>
                <w:p w14:paraId="491BDE2A">
                  <w:pPr>
                    <w:pStyle w:val="2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kern w:val="2"/>
                      <w:position w:val="-20"/>
                      <w:sz w:val="21"/>
                      <w:szCs w:val="21"/>
                      <w:highlight w:val="none"/>
                    </w:rPr>
                  </w:pPr>
                  <w:r>
                    <w:rPr>
                      <w:rFonts w:hint="default" w:ascii="Times New Roman" w:hAnsi="Times New Roman" w:eastAsia="宋体" w:cs="Times New Roman"/>
                      <w:color w:val="auto"/>
                      <w:kern w:val="2"/>
                      <w:position w:val="-20"/>
                      <w:sz w:val="21"/>
                      <w:szCs w:val="21"/>
                      <w:highlight w:val="none"/>
                      <w:lang w:val="en-US" w:eastAsia="zh-CN" w:bidi="ar"/>
                    </w:rPr>
                    <w:t>6~9</w:t>
                  </w:r>
                </w:p>
              </w:tc>
              <w:tc>
                <w:tcPr>
                  <w:tcW w:w="1013" w:type="dxa"/>
                  <w:tcBorders>
                    <w:top w:val="single" w:color="auto" w:sz="4" w:space="0"/>
                    <w:left w:val="nil"/>
                    <w:bottom w:val="single" w:color="auto" w:sz="4" w:space="0"/>
                    <w:right w:val="single" w:color="auto" w:sz="4" w:space="0"/>
                  </w:tcBorders>
                  <w:noWrap w:val="0"/>
                  <w:vAlign w:val="center"/>
                </w:tcPr>
                <w:p w14:paraId="2D3159F9">
                  <w:pPr>
                    <w:pStyle w:val="2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kern w:val="2"/>
                      <w:position w:val="-20"/>
                      <w:sz w:val="21"/>
                      <w:szCs w:val="21"/>
                      <w:highlight w:val="none"/>
                    </w:rPr>
                  </w:pPr>
                  <w:r>
                    <w:rPr>
                      <w:rFonts w:hint="default" w:ascii="Times New Roman" w:hAnsi="Times New Roman" w:eastAsia="宋体" w:cs="Times New Roman"/>
                      <w:color w:val="auto"/>
                      <w:kern w:val="2"/>
                      <w:position w:val="-20"/>
                      <w:sz w:val="21"/>
                      <w:szCs w:val="21"/>
                      <w:highlight w:val="none"/>
                      <w:lang w:val="en-US" w:eastAsia="zh-CN" w:bidi="ar"/>
                    </w:rPr>
                    <w:t>500</w:t>
                  </w:r>
                </w:p>
              </w:tc>
              <w:tc>
                <w:tcPr>
                  <w:tcW w:w="966" w:type="dxa"/>
                  <w:tcBorders>
                    <w:top w:val="single" w:color="auto" w:sz="4" w:space="0"/>
                    <w:left w:val="nil"/>
                    <w:bottom w:val="single" w:color="auto" w:sz="4" w:space="0"/>
                    <w:right w:val="single" w:color="auto" w:sz="4" w:space="0"/>
                  </w:tcBorders>
                  <w:noWrap w:val="0"/>
                  <w:vAlign w:val="center"/>
                </w:tcPr>
                <w:p w14:paraId="6278D80C">
                  <w:pPr>
                    <w:pStyle w:val="2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kern w:val="2"/>
                      <w:position w:val="-20"/>
                      <w:sz w:val="21"/>
                      <w:szCs w:val="21"/>
                      <w:highlight w:val="none"/>
                    </w:rPr>
                  </w:pPr>
                  <w:r>
                    <w:rPr>
                      <w:rFonts w:hint="default" w:ascii="Times New Roman" w:hAnsi="Times New Roman" w:eastAsia="宋体" w:cs="Times New Roman"/>
                      <w:color w:val="auto"/>
                      <w:kern w:val="2"/>
                      <w:position w:val="-20"/>
                      <w:sz w:val="21"/>
                      <w:szCs w:val="21"/>
                      <w:highlight w:val="none"/>
                      <w:lang w:val="en-US" w:eastAsia="zh-CN" w:bidi="ar"/>
                    </w:rPr>
                    <w:t>300</w:t>
                  </w:r>
                </w:p>
              </w:tc>
              <w:tc>
                <w:tcPr>
                  <w:tcW w:w="766" w:type="dxa"/>
                  <w:tcBorders>
                    <w:top w:val="single" w:color="auto" w:sz="4" w:space="0"/>
                    <w:left w:val="nil"/>
                    <w:bottom w:val="single" w:color="auto" w:sz="4" w:space="0"/>
                    <w:right w:val="single" w:color="auto" w:sz="4" w:space="0"/>
                  </w:tcBorders>
                  <w:noWrap w:val="0"/>
                  <w:vAlign w:val="center"/>
                </w:tcPr>
                <w:p w14:paraId="2D291226">
                  <w:pPr>
                    <w:pStyle w:val="2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kern w:val="2"/>
                      <w:position w:val="-20"/>
                      <w:sz w:val="21"/>
                      <w:szCs w:val="21"/>
                      <w:highlight w:val="none"/>
                    </w:rPr>
                  </w:pPr>
                  <w:r>
                    <w:rPr>
                      <w:rFonts w:hint="default" w:ascii="Times New Roman" w:hAnsi="Times New Roman" w:eastAsia="宋体" w:cs="Times New Roman"/>
                      <w:color w:val="auto"/>
                      <w:kern w:val="2"/>
                      <w:position w:val="-20"/>
                      <w:sz w:val="21"/>
                      <w:szCs w:val="21"/>
                      <w:highlight w:val="none"/>
                      <w:lang w:val="en-US" w:eastAsia="zh-CN" w:bidi="ar"/>
                    </w:rPr>
                    <w:t>400</w:t>
                  </w:r>
                </w:p>
              </w:tc>
              <w:tc>
                <w:tcPr>
                  <w:tcW w:w="766" w:type="dxa"/>
                  <w:tcBorders>
                    <w:top w:val="single" w:color="auto" w:sz="4" w:space="0"/>
                    <w:left w:val="nil"/>
                    <w:bottom w:val="single" w:color="auto" w:sz="4" w:space="0"/>
                    <w:right w:val="single" w:color="auto" w:sz="4" w:space="0"/>
                  </w:tcBorders>
                  <w:noWrap w:val="0"/>
                  <w:vAlign w:val="center"/>
                </w:tcPr>
                <w:p w14:paraId="15186614">
                  <w:pPr>
                    <w:pStyle w:val="2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kern w:val="2"/>
                      <w:position w:val="-20"/>
                      <w:sz w:val="21"/>
                      <w:szCs w:val="21"/>
                      <w:highlight w:val="none"/>
                    </w:rPr>
                  </w:pPr>
                  <w:r>
                    <w:rPr>
                      <w:rFonts w:hint="default" w:ascii="Times New Roman" w:hAnsi="Times New Roman" w:eastAsia="宋体" w:cs="Times New Roman"/>
                      <w:color w:val="auto"/>
                      <w:kern w:val="2"/>
                      <w:position w:val="-20"/>
                      <w:sz w:val="21"/>
                      <w:szCs w:val="21"/>
                      <w:highlight w:val="none"/>
                      <w:lang w:val="en-US" w:eastAsia="zh-CN" w:bidi="ar"/>
                    </w:rPr>
                    <w:t>---</w:t>
                  </w:r>
                </w:p>
              </w:tc>
              <w:tc>
                <w:tcPr>
                  <w:tcW w:w="837" w:type="dxa"/>
                  <w:tcBorders>
                    <w:top w:val="single" w:color="auto" w:sz="4" w:space="0"/>
                    <w:left w:val="nil"/>
                    <w:bottom w:val="single" w:color="auto" w:sz="4" w:space="0"/>
                    <w:right w:val="single" w:color="auto" w:sz="4" w:space="0"/>
                  </w:tcBorders>
                  <w:noWrap w:val="0"/>
                  <w:vAlign w:val="center"/>
                </w:tcPr>
                <w:p w14:paraId="642590B6">
                  <w:pPr>
                    <w:pStyle w:val="2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kern w:val="2"/>
                      <w:position w:val="-20"/>
                      <w:sz w:val="21"/>
                      <w:szCs w:val="21"/>
                      <w:highlight w:val="none"/>
                    </w:rPr>
                  </w:pPr>
                  <w:r>
                    <w:rPr>
                      <w:rFonts w:hint="default" w:ascii="Times New Roman" w:hAnsi="Times New Roman" w:eastAsia="宋体" w:cs="Times New Roman"/>
                      <w:color w:val="auto"/>
                      <w:kern w:val="2"/>
                      <w:position w:val="-20"/>
                      <w:sz w:val="21"/>
                      <w:szCs w:val="21"/>
                      <w:highlight w:val="none"/>
                      <w:lang w:val="en-US" w:eastAsia="zh-CN" w:bidi="ar"/>
                    </w:rPr>
                    <w:t>---</w:t>
                  </w:r>
                </w:p>
              </w:tc>
              <w:tc>
                <w:tcPr>
                  <w:tcW w:w="761" w:type="dxa"/>
                  <w:tcBorders>
                    <w:top w:val="single" w:color="auto" w:sz="4" w:space="0"/>
                    <w:left w:val="nil"/>
                    <w:bottom w:val="single" w:color="auto" w:sz="4" w:space="0"/>
                    <w:right w:val="single" w:color="auto" w:sz="4" w:space="0"/>
                  </w:tcBorders>
                  <w:noWrap w:val="0"/>
                  <w:vAlign w:val="center"/>
                </w:tcPr>
                <w:p w14:paraId="1BC9DD7A">
                  <w:pPr>
                    <w:pStyle w:val="2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kern w:val="2"/>
                      <w:position w:val="-20"/>
                      <w:sz w:val="21"/>
                      <w:szCs w:val="21"/>
                      <w:highlight w:val="none"/>
                    </w:rPr>
                  </w:pPr>
                  <w:r>
                    <w:rPr>
                      <w:rFonts w:hint="default" w:ascii="Times New Roman" w:hAnsi="Times New Roman" w:eastAsia="宋体" w:cs="Times New Roman"/>
                      <w:color w:val="auto"/>
                      <w:kern w:val="2"/>
                      <w:position w:val="-20"/>
                      <w:sz w:val="21"/>
                      <w:szCs w:val="21"/>
                      <w:highlight w:val="none"/>
                      <w:lang w:val="en-US" w:eastAsia="zh-CN" w:bidi="ar"/>
                    </w:rPr>
                    <w:t>---</w:t>
                  </w:r>
                </w:p>
              </w:tc>
            </w:tr>
            <w:tr w14:paraId="0A54F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2171" w:type="dxa"/>
                  <w:tcBorders>
                    <w:top w:val="single" w:color="auto" w:sz="4" w:space="0"/>
                    <w:left w:val="single" w:color="auto" w:sz="4" w:space="0"/>
                    <w:bottom w:val="single" w:color="auto" w:sz="4" w:space="0"/>
                    <w:right w:val="single" w:color="auto" w:sz="4" w:space="0"/>
                  </w:tcBorders>
                  <w:noWrap w:val="0"/>
                  <w:vAlign w:val="center"/>
                </w:tcPr>
                <w:p w14:paraId="57567DE9">
                  <w:pPr>
                    <w:pStyle w:val="2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kern w:val="2"/>
                      <w:position w:val="-20"/>
                      <w:sz w:val="21"/>
                      <w:szCs w:val="21"/>
                      <w:highlight w:val="none"/>
                    </w:rPr>
                  </w:pPr>
                  <w:r>
                    <w:rPr>
                      <w:rFonts w:hint="default" w:ascii="Times New Roman" w:hAnsi="Times New Roman" w:eastAsia="宋体" w:cs="Times New Roman"/>
                      <w:color w:val="auto"/>
                      <w:kern w:val="2"/>
                      <w:position w:val="-20"/>
                      <w:sz w:val="21"/>
                      <w:szCs w:val="21"/>
                      <w:highlight w:val="none"/>
                      <w:lang w:val="en-US" w:eastAsia="zh-CN" w:bidi="ar"/>
                    </w:rPr>
                    <w:t>污水厂进水水质要求</w:t>
                  </w:r>
                </w:p>
              </w:tc>
              <w:tc>
                <w:tcPr>
                  <w:tcW w:w="581" w:type="dxa"/>
                  <w:tcBorders>
                    <w:top w:val="single" w:color="auto" w:sz="4" w:space="0"/>
                    <w:left w:val="nil"/>
                    <w:bottom w:val="single" w:color="auto" w:sz="4" w:space="0"/>
                    <w:right w:val="single" w:color="auto" w:sz="4" w:space="0"/>
                  </w:tcBorders>
                  <w:noWrap w:val="0"/>
                  <w:vAlign w:val="center"/>
                </w:tcPr>
                <w:p w14:paraId="05D7D8C1">
                  <w:pPr>
                    <w:pStyle w:val="2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kern w:val="2"/>
                      <w:position w:val="-20"/>
                      <w:sz w:val="21"/>
                      <w:szCs w:val="21"/>
                      <w:highlight w:val="none"/>
                    </w:rPr>
                  </w:pPr>
                  <w:r>
                    <w:rPr>
                      <w:rFonts w:hint="default" w:ascii="Times New Roman" w:hAnsi="Times New Roman" w:eastAsia="宋体" w:cs="Times New Roman"/>
                      <w:color w:val="auto"/>
                      <w:kern w:val="2"/>
                      <w:position w:val="-20"/>
                      <w:sz w:val="21"/>
                      <w:szCs w:val="21"/>
                      <w:highlight w:val="none"/>
                      <w:lang w:val="en-US" w:eastAsia="zh-CN" w:bidi="ar"/>
                    </w:rPr>
                    <w:t>6-9</w:t>
                  </w:r>
                </w:p>
              </w:tc>
              <w:tc>
                <w:tcPr>
                  <w:tcW w:w="1013" w:type="dxa"/>
                  <w:tcBorders>
                    <w:top w:val="single" w:color="auto" w:sz="4" w:space="0"/>
                    <w:left w:val="nil"/>
                    <w:bottom w:val="single" w:color="auto" w:sz="4" w:space="0"/>
                    <w:right w:val="single" w:color="auto" w:sz="4" w:space="0"/>
                  </w:tcBorders>
                  <w:noWrap w:val="0"/>
                  <w:vAlign w:val="center"/>
                </w:tcPr>
                <w:p w14:paraId="2F488617">
                  <w:pPr>
                    <w:pStyle w:val="2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kern w:val="2"/>
                      <w:position w:val="-20"/>
                      <w:sz w:val="21"/>
                      <w:szCs w:val="21"/>
                      <w:highlight w:val="none"/>
                    </w:rPr>
                  </w:pPr>
                  <w:r>
                    <w:rPr>
                      <w:rFonts w:hint="default" w:ascii="Times New Roman" w:hAnsi="Times New Roman" w:eastAsia="宋体" w:cs="Times New Roman"/>
                      <w:color w:val="auto"/>
                      <w:kern w:val="2"/>
                      <w:position w:val="-20"/>
                      <w:sz w:val="21"/>
                      <w:szCs w:val="21"/>
                      <w:highlight w:val="none"/>
                      <w:lang w:val="en-US" w:eastAsia="zh-CN" w:bidi="ar"/>
                    </w:rPr>
                    <w:t>450</w:t>
                  </w:r>
                </w:p>
              </w:tc>
              <w:tc>
                <w:tcPr>
                  <w:tcW w:w="966" w:type="dxa"/>
                  <w:tcBorders>
                    <w:top w:val="single" w:color="auto" w:sz="4" w:space="0"/>
                    <w:left w:val="nil"/>
                    <w:bottom w:val="single" w:color="auto" w:sz="4" w:space="0"/>
                    <w:right w:val="single" w:color="auto" w:sz="4" w:space="0"/>
                  </w:tcBorders>
                  <w:noWrap w:val="0"/>
                  <w:vAlign w:val="center"/>
                </w:tcPr>
                <w:p w14:paraId="52746D5E">
                  <w:pPr>
                    <w:pStyle w:val="2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kern w:val="2"/>
                      <w:position w:val="-20"/>
                      <w:sz w:val="21"/>
                      <w:szCs w:val="21"/>
                      <w:highlight w:val="none"/>
                    </w:rPr>
                  </w:pPr>
                  <w:r>
                    <w:rPr>
                      <w:rFonts w:hint="default" w:ascii="Times New Roman" w:hAnsi="Times New Roman" w:eastAsia="宋体" w:cs="Times New Roman"/>
                      <w:color w:val="auto"/>
                      <w:kern w:val="2"/>
                      <w:position w:val="-20"/>
                      <w:sz w:val="21"/>
                      <w:szCs w:val="21"/>
                      <w:highlight w:val="none"/>
                      <w:lang w:val="en-US" w:eastAsia="zh-CN" w:bidi="ar"/>
                    </w:rPr>
                    <w:t>250</w:t>
                  </w:r>
                </w:p>
              </w:tc>
              <w:tc>
                <w:tcPr>
                  <w:tcW w:w="766" w:type="dxa"/>
                  <w:tcBorders>
                    <w:top w:val="single" w:color="auto" w:sz="4" w:space="0"/>
                    <w:left w:val="nil"/>
                    <w:bottom w:val="single" w:color="auto" w:sz="4" w:space="0"/>
                    <w:right w:val="single" w:color="auto" w:sz="4" w:space="0"/>
                  </w:tcBorders>
                  <w:noWrap w:val="0"/>
                  <w:vAlign w:val="center"/>
                </w:tcPr>
                <w:p w14:paraId="4BCF23AC">
                  <w:pPr>
                    <w:pStyle w:val="2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kern w:val="2"/>
                      <w:position w:val="-20"/>
                      <w:sz w:val="21"/>
                      <w:szCs w:val="21"/>
                      <w:highlight w:val="none"/>
                    </w:rPr>
                  </w:pPr>
                  <w:r>
                    <w:rPr>
                      <w:rFonts w:hint="default" w:ascii="Times New Roman" w:hAnsi="Times New Roman" w:eastAsia="宋体" w:cs="Times New Roman"/>
                      <w:color w:val="auto"/>
                      <w:kern w:val="2"/>
                      <w:position w:val="-20"/>
                      <w:sz w:val="21"/>
                      <w:szCs w:val="21"/>
                      <w:highlight w:val="none"/>
                      <w:lang w:val="en-US" w:eastAsia="zh-CN" w:bidi="ar"/>
                    </w:rPr>
                    <w:t>300</w:t>
                  </w:r>
                </w:p>
              </w:tc>
              <w:tc>
                <w:tcPr>
                  <w:tcW w:w="766" w:type="dxa"/>
                  <w:tcBorders>
                    <w:top w:val="single" w:color="auto" w:sz="4" w:space="0"/>
                    <w:left w:val="nil"/>
                    <w:bottom w:val="single" w:color="auto" w:sz="4" w:space="0"/>
                    <w:right w:val="single" w:color="auto" w:sz="4" w:space="0"/>
                  </w:tcBorders>
                  <w:noWrap w:val="0"/>
                  <w:vAlign w:val="center"/>
                </w:tcPr>
                <w:p w14:paraId="35ED0685">
                  <w:pPr>
                    <w:pStyle w:val="2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kern w:val="2"/>
                      <w:position w:val="-20"/>
                      <w:sz w:val="21"/>
                      <w:szCs w:val="21"/>
                      <w:highlight w:val="none"/>
                    </w:rPr>
                  </w:pPr>
                  <w:r>
                    <w:rPr>
                      <w:rFonts w:hint="default" w:ascii="Times New Roman" w:hAnsi="Times New Roman" w:eastAsia="宋体" w:cs="Times New Roman"/>
                      <w:color w:val="auto"/>
                      <w:kern w:val="2"/>
                      <w:position w:val="-20"/>
                      <w:sz w:val="21"/>
                      <w:szCs w:val="21"/>
                      <w:highlight w:val="none"/>
                      <w:lang w:val="en-US" w:eastAsia="zh-CN" w:bidi="ar"/>
                    </w:rPr>
                    <w:t>25</w:t>
                  </w:r>
                </w:p>
              </w:tc>
              <w:tc>
                <w:tcPr>
                  <w:tcW w:w="837" w:type="dxa"/>
                  <w:tcBorders>
                    <w:top w:val="single" w:color="auto" w:sz="4" w:space="0"/>
                    <w:left w:val="nil"/>
                    <w:bottom w:val="single" w:color="auto" w:sz="4" w:space="0"/>
                    <w:right w:val="single" w:color="auto" w:sz="4" w:space="0"/>
                  </w:tcBorders>
                  <w:noWrap w:val="0"/>
                  <w:vAlign w:val="center"/>
                </w:tcPr>
                <w:p w14:paraId="5C60A9D8">
                  <w:pPr>
                    <w:pStyle w:val="2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kern w:val="2"/>
                      <w:position w:val="-20"/>
                      <w:sz w:val="21"/>
                      <w:szCs w:val="21"/>
                      <w:highlight w:val="none"/>
                    </w:rPr>
                  </w:pPr>
                  <w:r>
                    <w:rPr>
                      <w:rFonts w:hint="default" w:ascii="Times New Roman" w:hAnsi="Times New Roman" w:eastAsia="宋体" w:cs="Times New Roman"/>
                      <w:color w:val="auto"/>
                      <w:kern w:val="2"/>
                      <w:position w:val="-20"/>
                      <w:sz w:val="21"/>
                      <w:szCs w:val="21"/>
                      <w:highlight w:val="none"/>
                      <w:lang w:val="en-US" w:eastAsia="zh-CN" w:bidi="ar"/>
                    </w:rPr>
                    <w:t>5</w:t>
                  </w:r>
                </w:p>
              </w:tc>
              <w:tc>
                <w:tcPr>
                  <w:tcW w:w="761" w:type="dxa"/>
                  <w:tcBorders>
                    <w:top w:val="single" w:color="auto" w:sz="4" w:space="0"/>
                    <w:left w:val="nil"/>
                    <w:bottom w:val="single" w:color="auto" w:sz="4" w:space="0"/>
                    <w:right w:val="single" w:color="auto" w:sz="4" w:space="0"/>
                  </w:tcBorders>
                  <w:noWrap w:val="0"/>
                  <w:vAlign w:val="center"/>
                </w:tcPr>
                <w:p w14:paraId="39130C48">
                  <w:pPr>
                    <w:pStyle w:val="2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kern w:val="2"/>
                      <w:position w:val="-20"/>
                      <w:sz w:val="21"/>
                      <w:szCs w:val="21"/>
                      <w:highlight w:val="none"/>
                    </w:rPr>
                  </w:pPr>
                  <w:r>
                    <w:rPr>
                      <w:rFonts w:hint="default" w:ascii="Times New Roman" w:hAnsi="Times New Roman" w:eastAsia="宋体" w:cs="Times New Roman"/>
                      <w:color w:val="auto"/>
                      <w:kern w:val="2"/>
                      <w:position w:val="-20"/>
                      <w:sz w:val="21"/>
                      <w:szCs w:val="21"/>
                      <w:highlight w:val="none"/>
                      <w:lang w:val="en-US" w:eastAsia="zh-CN" w:bidi="ar"/>
                    </w:rPr>
                    <w:t>35</w:t>
                  </w:r>
                </w:p>
              </w:tc>
            </w:tr>
            <w:tr w14:paraId="3F1EB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2171" w:type="dxa"/>
                  <w:tcBorders>
                    <w:top w:val="single" w:color="auto" w:sz="4" w:space="0"/>
                    <w:left w:val="single" w:color="auto" w:sz="4" w:space="0"/>
                    <w:bottom w:val="single" w:color="auto" w:sz="4" w:space="0"/>
                    <w:right w:val="single" w:color="auto" w:sz="4" w:space="0"/>
                  </w:tcBorders>
                  <w:shd w:val="clear" w:color="auto" w:fill="D7D7D7"/>
                  <w:noWrap w:val="0"/>
                  <w:vAlign w:val="center"/>
                </w:tcPr>
                <w:p w14:paraId="6F7297A9">
                  <w:pPr>
                    <w:pStyle w:val="2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kern w:val="2"/>
                      <w:position w:val="-20"/>
                      <w:sz w:val="21"/>
                      <w:szCs w:val="21"/>
                      <w:highlight w:val="none"/>
                    </w:rPr>
                  </w:pPr>
                  <w:r>
                    <w:rPr>
                      <w:rFonts w:hint="default" w:ascii="Times New Roman" w:hAnsi="Times New Roman" w:eastAsia="宋体" w:cs="Times New Roman"/>
                      <w:color w:val="auto"/>
                      <w:kern w:val="2"/>
                      <w:position w:val="-20"/>
                      <w:sz w:val="21"/>
                      <w:szCs w:val="21"/>
                      <w:highlight w:val="none"/>
                      <w:lang w:val="en-US" w:eastAsia="zh-CN" w:bidi="ar"/>
                    </w:rPr>
                    <w:t>本项目污水排放口执行标准</w:t>
                  </w:r>
                </w:p>
              </w:tc>
              <w:tc>
                <w:tcPr>
                  <w:tcW w:w="581" w:type="dxa"/>
                  <w:tcBorders>
                    <w:top w:val="single" w:color="auto" w:sz="4" w:space="0"/>
                    <w:left w:val="nil"/>
                    <w:bottom w:val="single" w:color="auto" w:sz="4" w:space="0"/>
                    <w:right w:val="single" w:color="auto" w:sz="4" w:space="0"/>
                  </w:tcBorders>
                  <w:shd w:val="clear" w:color="auto" w:fill="D7D7D7"/>
                  <w:noWrap w:val="0"/>
                  <w:vAlign w:val="center"/>
                </w:tcPr>
                <w:p w14:paraId="6ACA17BA">
                  <w:pPr>
                    <w:pStyle w:val="2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kern w:val="2"/>
                      <w:position w:val="-20"/>
                      <w:sz w:val="21"/>
                      <w:szCs w:val="21"/>
                      <w:highlight w:val="none"/>
                    </w:rPr>
                  </w:pPr>
                  <w:r>
                    <w:rPr>
                      <w:rFonts w:hint="default" w:ascii="Times New Roman" w:hAnsi="Times New Roman" w:eastAsia="宋体" w:cs="Times New Roman"/>
                      <w:color w:val="auto"/>
                      <w:kern w:val="2"/>
                      <w:position w:val="-20"/>
                      <w:sz w:val="21"/>
                      <w:szCs w:val="21"/>
                      <w:highlight w:val="none"/>
                      <w:lang w:val="en-US" w:eastAsia="zh-CN" w:bidi="ar"/>
                    </w:rPr>
                    <w:t>6-9</w:t>
                  </w:r>
                </w:p>
              </w:tc>
              <w:tc>
                <w:tcPr>
                  <w:tcW w:w="1013" w:type="dxa"/>
                  <w:tcBorders>
                    <w:top w:val="single" w:color="auto" w:sz="4" w:space="0"/>
                    <w:left w:val="nil"/>
                    <w:bottom w:val="single" w:color="auto" w:sz="4" w:space="0"/>
                    <w:right w:val="single" w:color="auto" w:sz="4" w:space="0"/>
                  </w:tcBorders>
                  <w:shd w:val="clear" w:color="auto" w:fill="D7D7D7"/>
                  <w:noWrap w:val="0"/>
                  <w:vAlign w:val="center"/>
                </w:tcPr>
                <w:p w14:paraId="03A59FEF">
                  <w:pPr>
                    <w:pStyle w:val="2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kern w:val="2"/>
                      <w:position w:val="-20"/>
                      <w:sz w:val="21"/>
                      <w:szCs w:val="21"/>
                      <w:highlight w:val="none"/>
                    </w:rPr>
                  </w:pPr>
                  <w:r>
                    <w:rPr>
                      <w:rFonts w:hint="default" w:ascii="Times New Roman" w:hAnsi="Times New Roman" w:eastAsia="宋体" w:cs="Times New Roman"/>
                      <w:color w:val="auto"/>
                      <w:kern w:val="2"/>
                      <w:position w:val="-20"/>
                      <w:sz w:val="21"/>
                      <w:szCs w:val="21"/>
                      <w:highlight w:val="none"/>
                      <w:lang w:val="en-US" w:eastAsia="zh-CN" w:bidi="ar"/>
                    </w:rPr>
                    <w:t>450</w:t>
                  </w:r>
                </w:p>
              </w:tc>
              <w:tc>
                <w:tcPr>
                  <w:tcW w:w="966" w:type="dxa"/>
                  <w:tcBorders>
                    <w:top w:val="single" w:color="auto" w:sz="4" w:space="0"/>
                    <w:left w:val="nil"/>
                    <w:bottom w:val="single" w:color="auto" w:sz="4" w:space="0"/>
                    <w:right w:val="single" w:color="auto" w:sz="4" w:space="0"/>
                  </w:tcBorders>
                  <w:shd w:val="clear" w:color="auto" w:fill="D7D7D7"/>
                  <w:noWrap w:val="0"/>
                  <w:vAlign w:val="center"/>
                </w:tcPr>
                <w:p w14:paraId="1E9A24DE">
                  <w:pPr>
                    <w:pStyle w:val="2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kern w:val="2"/>
                      <w:position w:val="-20"/>
                      <w:sz w:val="21"/>
                      <w:szCs w:val="21"/>
                      <w:highlight w:val="none"/>
                    </w:rPr>
                  </w:pPr>
                  <w:r>
                    <w:rPr>
                      <w:rFonts w:hint="default" w:ascii="Times New Roman" w:hAnsi="Times New Roman" w:eastAsia="宋体" w:cs="Times New Roman"/>
                      <w:color w:val="auto"/>
                      <w:kern w:val="2"/>
                      <w:position w:val="-20"/>
                      <w:sz w:val="21"/>
                      <w:szCs w:val="21"/>
                      <w:highlight w:val="none"/>
                      <w:lang w:val="en-US" w:eastAsia="zh-CN" w:bidi="ar"/>
                    </w:rPr>
                    <w:t>250</w:t>
                  </w:r>
                </w:p>
              </w:tc>
              <w:tc>
                <w:tcPr>
                  <w:tcW w:w="766" w:type="dxa"/>
                  <w:tcBorders>
                    <w:top w:val="single" w:color="auto" w:sz="4" w:space="0"/>
                    <w:left w:val="nil"/>
                    <w:bottom w:val="single" w:color="auto" w:sz="4" w:space="0"/>
                    <w:right w:val="single" w:color="auto" w:sz="4" w:space="0"/>
                  </w:tcBorders>
                  <w:shd w:val="clear" w:color="auto" w:fill="D7D7D7"/>
                  <w:noWrap w:val="0"/>
                  <w:vAlign w:val="center"/>
                </w:tcPr>
                <w:p w14:paraId="173B5810">
                  <w:pPr>
                    <w:pStyle w:val="2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kern w:val="2"/>
                      <w:position w:val="-20"/>
                      <w:sz w:val="21"/>
                      <w:szCs w:val="21"/>
                      <w:highlight w:val="none"/>
                    </w:rPr>
                  </w:pPr>
                  <w:r>
                    <w:rPr>
                      <w:rFonts w:hint="default" w:ascii="Times New Roman" w:hAnsi="Times New Roman" w:eastAsia="宋体" w:cs="Times New Roman"/>
                      <w:color w:val="auto"/>
                      <w:kern w:val="2"/>
                      <w:position w:val="-20"/>
                      <w:sz w:val="21"/>
                      <w:szCs w:val="21"/>
                      <w:highlight w:val="none"/>
                      <w:lang w:val="en-US" w:eastAsia="zh-CN" w:bidi="ar"/>
                    </w:rPr>
                    <w:t>300</w:t>
                  </w:r>
                </w:p>
              </w:tc>
              <w:tc>
                <w:tcPr>
                  <w:tcW w:w="766" w:type="dxa"/>
                  <w:tcBorders>
                    <w:top w:val="single" w:color="auto" w:sz="4" w:space="0"/>
                    <w:left w:val="nil"/>
                    <w:bottom w:val="single" w:color="auto" w:sz="4" w:space="0"/>
                    <w:right w:val="single" w:color="auto" w:sz="4" w:space="0"/>
                  </w:tcBorders>
                  <w:shd w:val="clear" w:color="auto" w:fill="D7D7D7"/>
                  <w:noWrap w:val="0"/>
                  <w:vAlign w:val="center"/>
                </w:tcPr>
                <w:p w14:paraId="6A7E2C19">
                  <w:pPr>
                    <w:pStyle w:val="2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kern w:val="2"/>
                      <w:position w:val="-20"/>
                      <w:sz w:val="21"/>
                      <w:szCs w:val="21"/>
                      <w:highlight w:val="none"/>
                    </w:rPr>
                  </w:pPr>
                  <w:r>
                    <w:rPr>
                      <w:rFonts w:hint="default" w:ascii="Times New Roman" w:hAnsi="Times New Roman" w:eastAsia="宋体" w:cs="Times New Roman"/>
                      <w:color w:val="auto"/>
                      <w:kern w:val="2"/>
                      <w:position w:val="-20"/>
                      <w:sz w:val="21"/>
                      <w:szCs w:val="21"/>
                      <w:highlight w:val="none"/>
                      <w:lang w:val="en-US" w:eastAsia="zh-CN" w:bidi="ar"/>
                    </w:rPr>
                    <w:t>25</w:t>
                  </w:r>
                </w:p>
              </w:tc>
              <w:tc>
                <w:tcPr>
                  <w:tcW w:w="837" w:type="dxa"/>
                  <w:tcBorders>
                    <w:top w:val="single" w:color="auto" w:sz="4" w:space="0"/>
                    <w:left w:val="nil"/>
                    <w:bottom w:val="single" w:color="auto" w:sz="4" w:space="0"/>
                    <w:right w:val="single" w:color="auto" w:sz="4" w:space="0"/>
                  </w:tcBorders>
                  <w:shd w:val="clear" w:color="auto" w:fill="D7D7D7"/>
                  <w:noWrap w:val="0"/>
                  <w:vAlign w:val="center"/>
                </w:tcPr>
                <w:p w14:paraId="61A548E0">
                  <w:pPr>
                    <w:pStyle w:val="2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kern w:val="2"/>
                      <w:position w:val="-20"/>
                      <w:sz w:val="21"/>
                      <w:szCs w:val="21"/>
                      <w:highlight w:val="none"/>
                    </w:rPr>
                  </w:pPr>
                  <w:r>
                    <w:rPr>
                      <w:rFonts w:hint="default" w:ascii="Times New Roman" w:hAnsi="Times New Roman" w:eastAsia="宋体" w:cs="Times New Roman"/>
                      <w:color w:val="auto"/>
                      <w:kern w:val="2"/>
                      <w:position w:val="-20"/>
                      <w:sz w:val="21"/>
                      <w:szCs w:val="21"/>
                      <w:highlight w:val="none"/>
                      <w:lang w:val="en-US" w:eastAsia="zh-CN" w:bidi="ar"/>
                    </w:rPr>
                    <w:t>5</w:t>
                  </w:r>
                </w:p>
              </w:tc>
              <w:tc>
                <w:tcPr>
                  <w:tcW w:w="761" w:type="dxa"/>
                  <w:tcBorders>
                    <w:top w:val="single" w:color="auto" w:sz="4" w:space="0"/>
                    <w:left w:val="nil"/>
                    <w:bottom w:val="single" w:color="auto" w:sz="4" w:space="0"/>
                    <w:right w:val="single" w:color="auto" w:sz="4" w:space="0"/>
                  </w:tcBorders>
                  <w:shd w:val="clear" w:color="auto" w:fill="D7D7D7"/>
                  <w:noWrap w:val="0"/>
                  <w:vAlign w:val="center"/>
                </w:tcPr>
                <w:p w14:paraId="1F31BAA8">
                  <w:pPr>
                    <w:pStyle w:val="2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kern w:val="2"/>
                      <w:position w:val="-20"/>
                      <w:sz w:val="21"/>
                      <w:szCs w:val="21"/>
                      <w:highlight w:val="none"/>
                    </w:rPr>
                  </w:pPr>
                  <w:r>
                    <w:rPr>
                      <w:rFonts w:hint="default" w:ascii="Times New Roman" w:hAnsi="Times New Roman" w:eastAsia="宋体" w:cs="Times New Roman"/>
                      <w:color w:val="auto"/>
                      <w:kern w:val="2"/>
                      <w:position w:val="-20"/>
                      <w:sz w:val="21"/>
                      <w:szCs w:val="21"/>
                      <w:highlight w:val="none"/>
                      <w:lang w:val="en-US" w:eastAsia="zh-CN" w:bidi="ar"/>
                    </w:rPr>
                    <w:t>35</w:t>
                  </w:r>
                </w:p>
              </w:tc>
            </w:tr>
          </w:tbl>
          <w:p w14:paraId="5D6352BE">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2、大气污染物排放标准</w:t>
            </w:r>
          </w:p>
          <w:p w14:paraId="73CEB986">
            <w:pPr>
              <w:keepNext w:val="0"/>
              <w:keepLines w:val="0"/>
              <w:suppressLineNumbers w:val="0"/>
              <w:adjustRightInd w:val="0"/>
              <w:snapToGrid w:val="0"/>
              <w:spacing w:before="0" w:beforeAutospacing="0" w:after="0" w:afterAutospacing="0" w:line="360" w:lineRule="auto"/>
              <w:ind w:left="0" w:right="0" w:firstLine="480" w:firstLineChars="200"/>
              <w:rPr>
                <w:rFonts w:hint="eastAsia"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项目印刷废气</w:t>
            </w:r>
            <w:r>
              <w:rPr>
                <w:rFonts w:hint="eastAsia" w:cs="Times New Roman"/>
                <w:color w:val="auto"/>
                <w:sz w:val="24"/>
                <w:highlight w:val="none"/>
                <w:lang w:val="en-US" w:eastAsia="zh-CN"/>
              </w:rPr>
              <w:t>使用负压收集</w:t>
            </w:r>
            <w:r>
              <w:rPr>
                <w:rFonts w:hint="eastAsia" w:ascii="Times New Roman" w:hAnsi="Times New Roman" w:eastAsia="宋体" w:cs="Times New Roman"/>
                <w:color w:val="auto"/>
                <w:sz w:val="24"/>
                <w:highlight w:val="none"/>
                <w:lang w:val="en-US" w:eastAsia="zh-CN"/>
              </w:rPr>
              <w:t>、过油废气</w:t>
            </w:r>
            <w:r>
              <w:rPr>
                <w:rFonts w:hint="eastAsia" w:cs="Times New Roman"/>
                <w:color w:val="auto"/>
                <w:sz w:val="24"/>
                <w:highlight w:val="none"/>
                <w:lang w:val="en-US" w:eastAsia="zh-CN"/>
              </w:rPr>
              <w:t>使用集气罩收集</w:t>
            </w:r>
            <w:r>
              <w:rPr>
                <w:rFonts w:hint="eastAsia" w:ascii="Times New Roman" w:hAnsi="Times New Roman" w:eastAsia="宋体" w:cs="Times New Roman"/>
                <w:color w:val="auto"/>
                <w:sz w:val="24"/>
                <w:highlight w:val="none"/>
                <w:lang w:val="en-US" w:eastAsia="zh-CN"/>
              </w:rPr>
              <w:t>、粘盒废气</w:t>
            </w:r>
            <w:r>
              <w:rPr>
                <w:rFonts w:hint="eastAsia" w:cs="Times New Roman"/>
                <w:color w:val="auto"/>
                <w:sz w:val="24"/>
                <w:highlight w:val="none"/>
                <w:lang w:val="en-US" w:eastAsia="zh-CN"/>
              </w:rPr>
              <w:t>使用集气罩收集后统一经一套两级活性炭装置处理后由一根15m高排气筒排放。</w:t>
            </w:r>
          </w:p>
          <w:p w14:paraId="420203EC">
            <w:pPr>
              <w:keepNext w:val="0"/>
              <w:keepLines w:val="0"/>
              <w:suppressLineNumbers w:val="0"/>
              <w:adjustRightInd w:val="0"/>
              <w:snapToGrid w:val="0"/>
              <w:spacing w:before="0" w:beforeAutospacing="0" w:after="0" w:afterAutospacing="0" w:line="360" w:lineRule="auto"/>
              <w:ind w:left="0" w:right="0" w:firstLine="480" w:firstLineChars="200"/>
              <w:rPr>
                <w:rFonts w:hint="default" w:cs="Times New Roman"/>
                <w:color w:val="auto"/>
                <w:sz w:val="24"/>
                <w:highlight w:val="none"/>
                <w:lang w:val="en-US" w:eastAsia="zh-CN"/>
              </w:rPr>
            </w:pPr>
            <w:r>
              <w:rPr>
                <w:rFonts w:hint="default" w:cs="Times New Roman"/>
                <w:color w:val="auto"/>
                <w:sz w:val="24"/>
                <w:highlight w:val="none"/>
                <w:lang w:val="en-US" w:eastAsia="zh-CN"/>
              </w:rPr>
              <w:t>有组织排放有机废气同时执行《印刷工业大气污染物排放标准》（GB41616-2022）表1大气污染物NMHC排放限值以及《印刷行业挥发性有机化合物排放标准》（DB44/815-2010）表2平版印刷第Ⅱ时段排气筒VOCs排放限值</w:t>
            </w:r>
            <w:r>
              <w:rPr>
                <w:rFonts w:hint="eastAsia" w:cs="Times New Roman"/>
                <w:color w:val="auto"/>
                <w:sz w:val="24"/>
                <w:highlight w:val="none"/>
                <w:lang w:val="en-US" w:eastAsia="zh-CN"/>
              </w:rPr>
              <w:t>，详见表3-3；有组织臭气浓度排放执行《恶臭污染物排放标准》（GB14554-93）表2恶臭污染物排放标准值，详见表3-3；</w:t>
            </w:r>
          </w:p>
          <w:p w14:paraId="75A5B1F2">
            <w:pPr>
              <w:pStyle w:val="18"/>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right="113" w:firstLine="480" w:firstLineChars="200"/>
              <w:textAlignment w:val="auto"/>
              <w:rPr>
                <w:rFonts w:hint="default" w:ascii="Times New Roman" w:hAnsi="Times New Roman" w:eastAsia="宋体" w:cs="Times New Roman"/>
                <w:color w:val="auto"/>
                <w:sz w:val="24"/>
                <w:highlight w:val="none"/>
                <w:vertAlign w:val="baseline"/>
                <w:lang w:val="en-US" w:eastAsia="zh-CN"/>
              </w:rPr>
            </w:pPr>
            <w:r>
              <w:rPr>
                <w:rFonts w:hint="default" w:cs="Times New Roman"/>
                <w:color w:val="auto"/>
                <w:sz w:val="24"/>
                <w:highlight w:val="none"/>
                <w:lang w:val="en-US" w:eastAsia="zh-CN"/>
              </w:rPr>
              <w:t>厂界无组织排放有机废气执行《印刷工业大气污染物排放标准》（GB41616-2022）表A.1的要求以及广东省地方标准《固定污染源挥发性有机物综合排放标准》（DB44/2367-2022）表3 厂区内VOCs无组织排放限值两者较严值</w:t>
            </w:r>
            <w:r>
              <w:rPr>
                <w:rFonts w:hint="eastAsia" w:cs="Times New Roman"/>
                <w:color w:val="auto"/>
                <w:sz w:val="24"/>
                <w:highlight w:val="none"/>
                <w:lang w:val="en-US" w:eastAsia="zh-CN"/>
              </w:rPr>
              <w:t>，厂界无组织排放臭气浓度执行《恶臭污染物排放标准》（GB14554-93）表1恶臭污染物厂界标准值中二级新改扩建标准，</w:t>
            </w:r>
            <w:r>
              <w:rPr>
                <w:rFonts w:hint="default" w:cs="Times New Roman"/>
                <w:color w:val="auto"/>
                <w:sz w:val="24"/>
                <w:highlight w:val="none"/>
                <w:lang w:val="en-US" w:eastAsia="zh-CN"/>
              </w:rPr>
              <w:t>厂区内VOCs无组织排放监控点浓度执行《印刷工业大气污染物排放标准》（GB41616-2022）表A.1厂区内VOCs无组织排放限值</w:t>
            </w:r>
            <w:r>
              <w:rPr>
                <w:rFonts w:hint="eastAsia" w:cs="Times New Roman"/>
                <w:color w:val="auto"/>
                <w:sz w:val="24"/>
                <w:highlight w:val="none"/>
                <w:lang w:val="en-US" w:eastAsia="zh-CN"/>
              </w:rPr>
              <w:t>，详见表3-4。</w:t>
            </w:r>
          </w:p>
          <w:p w14:paraId="02926C5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2" w:firstLineChars="200"/>
              <w:jc w:val="center"/>
              <w:textAlignment w:val="auto"/>
              <w:rPr>
                <w:rFonts w:hint="eastAsia" w:ascii="Times New Roman" w:hAnsi="Times New Roman" w:eastAsia="宋体" w:cs="Times New Roman"/>
                <w:b/>
                <w:bCs/>
                <w:color w:val="auto"/>
                <w:sz w:val="21"/>
                <w:szCs w:val="21"/>
                <w:highlight w:val="none"/>
                <w:lang w:val="en-US" w:eastAsia="zh-CN"/>
              </w:rPr>
            </w:pPr>
          </w:p>
          <w:p w14:paraId="748E55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2" w:firstLineChars="200"/>
              <w:jc w:val="center"/>
              <w:textAlignment w:val="auto"/>
              <w:rPr>
                <w:rFonts w:hint="eastAsia" w:ascii="Times New Roman" w:hAnsi="Times New Roman" w:eastAsia="宋体" w:cs="Times New Roman"/>
                <w:b/>
                <w:bCs/>
                <w:color w:val="auto"/>
                <w:sz w:val="21"/>
                <w:szCs w:val="21"/>
                <w:highlight w:val="none"/>
                <w:lang w:val="en-US" w:eastAsia="zh-CN"/>
              </w:rPr>
            </w:pPr>
          </w:p>
          <w:p w14:paraId="6D05BEE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2" w:firstLineChars="200"/>
              <w:jc w:val="center"/>
              <w:textAlignment w:val="auto"/>
              <w:rPr>
                <w:rFonts w:hint="eastAsia" w:ascii="Times New Roman" w:hAnsi="Times New Roman" w:eastAsia="宋体" w:cs="Times New Roman"/>
                <w:b/>
                <w:bCs/>
                <w:color w:val="auto"/>
                <w:sz w:val="21"/>
                <w:szCs w:val="21"/>
                <w:highlight w:val="none"/>
                <w:lang w:val="en-US" w:eastAsia="zh-CN"/>
              </w:rPr>
            </w:pPr>
          </w:p>
          <w:p w14:paraId="016021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2" w:firstLineChars="200"/>
              <w:jc w:val="center"/>
              <w:textAlignment w:val="auto"/>
              <w:rPr>
                <w:rFonts w:hint="eastAsia" w:ascii="Times New Roman" w:hAnsi="Times New Roman" w:eastAsia="宋体" w:cs="Times New Roman"/>
                <w:b/>
                <w:bCs/>
                <w:color w:val="auto"/>
                <w:sz w:val="21"/>
                <w:szCs w:val="21"/>
                <w:highlight w:val="none"/>
                <w:lang w:val="en-US" w:eastAsia="zh-CN"/>
              </w:rPr>
            </w:pPr>
          </w:p>
          <w:p w14:paraId="4F211BB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2" w:firstLineChars="200"/>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表</w:t>
            </w:r>
            <w:r>
              <w:rPr>
                <w:rFonts w:hint="eastAsia" w:cs="Times New Roman"/>
                <w:b/>
                <w:bCs/>
                <w:color w:val="auto"/>
                <w:sz w:val="21"/>
                <w:szCs w:val="21"/>
                <w:highlight w:val="none"/>
                <w:lang w:val="en-US" w:eastAsia="zh-CN"/>
              </w:rPr>
              <w:t xml:space="preserve">3-3 </w:t>
            </w:r>
            <w:r>
              <w:rPr>
                <w:rFonts w:hint="eastAsia" w:ascii="Times New Roman" w:hAnsi="Times New Roman" w:eastAsia="宋体" w:cs="Times New Roman"/>
                <w:b/>
                <w:bCs/>
                <w:color w:val="auto"/>
                <w:sz w:val="21"/>
                <w:szCs w:val="21"/>
                <w:highlight w:val="none"/>
                <w:lang w:val="en-US" w:eastAsia="zh-CN"/>
              </w:rPr>
              <w:t>本项目排气筒DA001执行标准一览表</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1935"/>
              <w:gridCol w:w="885"/>
              <w:gridCol w:w="1230"/>
              <w:gridCol w:w="735"/>
              <w:gridCol w:w="1005"/>
              <w:gridCol w:w="1429"/>
            </w:tblGrid>
            <w:tr w14:paraId="4612F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noWrap w:val="0"/>
                  <w:vAlign w:val="center"/>
                </w:tcPr>
                <w:p w14:paraId="335832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排放形式</w:t>
                  </w:r>
                </w:p>
              </w:tc>
              <w:tc>
                <w:tcPr>
                  <w:tcW w:w="1935" w:type="dxa"/>
                  <w:noWrap w:val="0"/>
                  <w:vAlign w:val="center"/>
                </w:tcPr>
                <w:p w14:paraId="11FCDF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废气种类</w:t>
                  </w:r>
                </w:p>
              </w:tc>
              <w:tc>
                <w:tcPr>
                  <w:tcW w:w="885" w:type="dxa"/>
                  <w:noWrap w:val="0"/>
                  <w:vAlign w:val="center"/>
                </w:tcPr>
                <w:p w14:paraId="2841FA4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排气筒编号</w:t>
                  </w:r>
                </w:p>
              </w:tc>
              <w:tc>
                <w:tcPr>
                  <w:tcW w:w="1230" w:type="dxa"/>
                  <w:noWrap w:val="0"/>
                  <w:vAlign w:val="center"/>
                </w:tcPr>
                <w:p w14:paraId="7CFFAB9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污染物</w:t>
                  </w:r>
                </w:p>
                <w:p w14:paraId="717D7FE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项目</w:t>
                  </w:r>
                </w:p>
              </w:tc>
              <w:tc>
                <w:tcPr>
                  <w:tcW w:w="735" w:type="dxa"/>
                  <w:noWrap w:val="0"/>
                  <w:vAlign w:val="center"/>
                </w:tcPr>
                <w:p w14:paraId="4F8969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排气筒高度</w:t>
                  </w:r>
                </w:p>
              </w:tc>
              <w:tc>
                <w:tcPr>
                  <w:tcW w:w="1005" w:type="dxa"/>
                  <w:noWrap w:val="0"/>
                  <w:vAlign w:val="center"/>
                </w:tcPr>
                <w:p w14:paraId="0ED01C1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最高允许排放浓度</w:t>
                  </w:r>
                </w:p>
              </w:tc>
              <w:tc>
                <w:tcPr>
                  <w:tcW w:w="1429" w:type="dxa"/>
                  <w:noWrap w:val="0"/>
                  <w:vAlign w:val="center"/>
                </w:tcPr>
                <w:p w14:paraId="5161037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最高允许排放限值</w:t>
                  </w:r>
                </w:p>
              </w:tc>
            </w:tr>
            <w:tr w14:paraId="4B7B5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restart"/>
                  <w:noWrap w:val="0"/>
                  <w:vAlign w:val="center"/>
                </w:tcPr>
                <w:p w14:paraId="63C0E10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有</w:t>
                  </w:r>
                </w:p>
                <w:p w14:paraId="30BB030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组</w:t>
                  </w:r>
                </w:p>
                <w:p w14:paraId="2F50676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织</w:t>
                  </w:r>
                </w:p>
              </w:tc>
              <w:tc>
                <w:tcPr>
                  <w:tcW w:w="1935" w:type="dxa"/>
                  <w:noWrap w:val="0"/>
                  <w:vAlign w:val="center"/>
                </w:tcPr>
                <w:p w14:paraId="0FA249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调墨工序油墨废气</w:t>
                  </w:r>
                </w:p>
              </w:tc>
              <w:tc>
                <w:tcPr>
                  <w:tcW w:w="885" w:type="dxa"/>
                  <w:vMerge w:val="restart"/>
                  <w:noWrap w:val="0"/>
                  <w:vAlign w:val="center"/>
                </w:tcPr>
                <w:p w14:paraId="038156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排气筒DA001</w:t>
                  </w:r>
                </w:p>
              </w:tc>
              <w:tc>
                <w:tcPr>
                  <w:tcW w:w="1230" w:type="dxa"/>
                  <w:vMerge w:val="restart"/>
                  <w:noWrap w:val="0"/>
                  <w:vAlign w:val="center"/>
                </w:tcPr>
                <w:p w14:paraId="1FA402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NMHC</w:t>
                  </w:r>
                </w:p>
              </w:tc>
              <w:tc>
                <w:tcPr>
                  <w:tcW w:w="735" w:type="dxa"/>
                  <w:vMerge w:val="restart"/>
                  <w:noWrap w:val="0"/>
                  <w:vAlign w:val="center"/>
                </w:tcPr>
                <w:p w14:paraId="59DABF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15</w:t>
                  </w:r>
                  <w:r>
                    <w:rPr>
                      <w:rFonts w:hint="eastAsia" w:ascii="Times New Roman" w:hAnsi="Times New Roman" w:eastAsia="宋体" w:cs="Times New Roman"/>
                      <w:b w:val="0"/>
                      <w:bCs w:val="0"/>
                      <w:color w:val="auto"/>
                      <w:sz w:val="21"/>
                      <w:szCs w:val="21"/>
                      <w:highlight w:val="none"/>
                      <w:vertAlign w:val="baseline"/>
                      <w:lang w:val="en-US" w:eastAsia="zh-CN"/>
                    </w:rPr>
                    <w:t>米</w:t>
                  </w:r>
                </w:p>
              </w:tc>
              <w:tc>
                <w:tcPr>
                  <w:tcW w:w="1005" w:type="dxa"/>
                  <w:vMerge w:val="restart"/>
                  <w:shd w:val="clear" w:color="auto" w:fill="auto"/>
                  <w:noWrap w:val="0"/>
                  <w:vAlign w:val="center"/>
                </w:tcPr>
                <w:p w14:paraId="58AFFE7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vertAlign w:val="superscript"/>
                      <w:lang w:val="en-US" w:eastAsia="zh-CN" w:bidi="ar-SA"/>
                    </w:rPr>
                  </w:pPr>
                  <w:r>
                    <w:rPr>
                      <w:rFonts w:hint="eastAsia" w:ascii="Times New Roman" w:hAnsi="Times New Roman" w:eastAsia="宋体" w:cs="Times New Roman"/>
                      <w:b w:val="0"/>
                      <w:bCs w:val="0"/>
                      <w:color w:val="auto"/>
                      <w:sz w:val="21"/>
                      <w:szCs w:val="21"/>
                      <w:highlight w:val="none"/>
                      <w:vertAlign w:val="baseline"/>
                      <w:lang w:val="en-US" w:eastAsia="zh-CN"/>
                    </w:rPr>
                    <w:t>70mg/m</w:t>
                  </w:r>
                  <w:r>
                    <w:rPr>
                      <w:rFonts w:hint="eastAsia" w:ascii="Times New Roman" w:hAnsi="Times New Roman" w:eastAsia="宋体" w:cs="Times New Roman"/>
                      <w:b w:val="0"/>
                      <w:bCs w:val="0"/>
                      <w:color w:val="auto"/>
                      <w:sz w:val="21"/>
                      <w:szCs w:val="21"/>
                      <w:highlight w:val="none"/>
                      <w:vertAlign w:val="superscript"/>
                      <w:lang w:val="en-US" w:eastAsia="zh-CN"/>
                    </w:rPr>
                    <w:t>3</w:t>
                  </w:r>
                </w:p>
              </w:tc>
              <w:tc>
                <w:tcPr>
                  <w:tcW w:w="1429" w:type="dxa"/>
                  <w:vMerge w:val="restart"/>
                  <w:shd w:val="clear" w:color="auto" w:fill="auto"/>
                  <w:noWrap w:val="0"/>
                  <w:vAlign w:val="center"/>
                </w:tcPr>
                <w:p w14:paraId="576E9B4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sz w:val="21"/>
                      <w:szCs w:val="21"/>
                      <w:highlight w:val="none"/>
                      <w:vertAlign w:val="baseline"/>
                      <w:lang w:val="en-US" w:eastAsia="zh-CN"/>
                    </w:rPr>
                    <w:t>/</w:t>
                  </w:r>
                </w:p>
              </w:tc>
            </w:tr>
            <w:tr w14:paraId="38900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noWrap w:val="0"/>
                  <w:vAlign w:val="center"/>
                </w:tcPr>
                <w:p w14:paraId="20EFBD0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935" w:type="dxa"/>
                  <w:noWrap w:val="0"/>
                  <w:vAlign w:val="center"/>
                </w:tcPr>
                <w:p w14:paraId="740479B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印刷工序油墨废气</w:t>
                  </w:r>
                </w:p>
              </w:tc>
              <w:tc>
                <w:tcPr>
                  <w:tcW w:w="885" w:type="dxa"/>
                  <w:vMerge w:val="continue"/>
                  <w:noWrap w:val="0"/>
                  <w:vAlign w:val="top"/>
                </w:tcPr>
                <w:p w14:paraId="3E9B46A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230" w:type="dxa"/>
                  <w:vMerge w:val="continue"/>
                  <w:noWrap w:val="0"/>
                  <w:vAlign w:val="center"/>
                </w:tcPr>
                <w:p w14:paraId="3B2043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735" w:type="dxa"/>
                  <w:vMerge w:val="continue"/>
                  <w:noWrap w:val="0"/>
                  <w:vAlign w:val="center"/>
                </w:tcPr>
                <w:p w14:paraId="618BD88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005" w:type="dxa"/>
                  <w:vMerge w:val="continue"/>
                  <w:noWrap w:val="0"/>
                  <w:vAlign w:val="center"/>
                </w:tcPr>
                <w:p w14:paraId="5FE3B0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429" w:type="dxa"/>
                  <w:vMerge w:val="continue"/>
                  <w:noWrap w:val="0"/>
                  <w:vAlign w:val="center"/>
                </w:tcPr>
                <w:p w14:paraId="1F3FDA8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r>
            <w:tr w14:paraId="6C8C7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2" w:type="dxa"/>
                  <w:vMerge w:val="continue"/>
                  <w:noWrap w:val="0"/>
                  <w:vAlign w:val="center"/>
                </w:tcPr>
                <w:p w14:paraId="45BE188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935" w:type="dxa"/>
                  <w:noWrap w:val="0"/>
                  <w:vAlign w:val="center"/>
                </w:tcPr>
                <w:p w14:paraId="41769E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润版工序润版废气</w:t>
                  </w:r>
                </w:p>
              </w:tc>
              <w:tc>
                <w:tcPr>
                  <w:tcW w:w="885" w:type="dxa"/>
                  <w:vMerge w:val="continue"/>
                  <w:noWrap w:val="0"/>
                  <w:vAlign w:val="top"/>
                </w:tcPr>
                <w:p w14:paraId="7BF428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230" w:type="dxa"/>
                  <w:vMerge w:val="continue"/>
                  <w:noWrap w:val="0"/>
                  <w:vAlign w:val="center"/>
                </w:tcPr>
                <w:p w14:paraId="405D9B1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735" w:type="dxa"/>
                  <w:vMerge w:val="continue"/>
                  <w:noWrap w:val="0"/>
                  <w:vAlign w:val="center"/>
                </w:tcPr>
                <w:p w14:paraId="14F099B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005" w:type="dxa"/>
                  <w:vMerge w:val="continue"/>
                  <w:noWrap w:val="0"/>
                  <w:vAlign w:val="center"/>
                </w:tcPr>
                <w:p w14:paraId="606BA0A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superscript"/>
                      <w:lang w:val="en-US" w:eastAsia="zh-CN"/>
                    </w:rPr>
                  </w:pPr>
                </w:p>
              </w:tc>
              <w:tc>
                <w:tcPr>
                  <w:tcW w:w="1429" w:type="dxa"/>
                  <w:vMerge w:val="continue"/>
                  <w:noWrap w:val="0"/>
                  <w:vAlign w:val="center"/>
                </w:tcPr>
                <w:p w14:paraId="126E02D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r>
            <w:tr w14:paraId="45963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noWrap w:val="0"/>
                  <w:vAlign w:val="center"/>
                </w:tcPr>
                <w:p w14:paraId="2160B37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935" w:type="dxa"/>
                  <w:noWrap w:val="0"/>
                  <w:vAlign w:val="center"/>
                </w:tcPr>
                <w:p w14:paraId="1C64BE5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清洗剂废气</w:t>
                  </w:r>
                </w:p>
              </w:tc>
              <w:tc>
                <w:tcPr>
                  <w:tcW w:w="885" w:type="dxa"/>
                  <w:vMerge w:val="continue"/>
                  <w:noWrap w:val="0"/>
                  <w:vAlign w:val="top"/>
                </w:tcPr>
                <w:p w14:paraId="7B1AE47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230" w:type="dxa"/>
                  <w:noWrap w:val="0"/>
                  <w:vAlign w:val="center"/>
                </w:tcPr>
                <w:p w14:paraId="354FD7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总VOCs</w:t>
                  </w:r>
                </w:p>
              </w:tc>
              <w:tc>
                <w:tcPr>
                  <w:tcW w:w="735" w:type="dxa"/>
                  <w:vMerge w:val="continue"/>
                  <w:noWrap w:val="0"/>
                  <w:vAlign w:val="center"/>
                </w:tcPr>
                <w:p w14:paraId="473D44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005" w:type="dxa"/>
                  <w:noWrap w:val="0"/>
                  <w:vAlign w:val="center"/>
                </w:tcPr>
                <w:p w14:paraId="07A306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80mg/m</w:t>
                  </w:r>
                  <w:r>
                    <w:rPr>
                      <w:rFonts w:hint="eastAsia" w:ascii="Times New Roman" w:hAnsi="Times New Roman" w:eastAsia="宋体" w:cs="Times New Roman"/>
                      <w:b w:val="0"/>
                      <w:bCs w:val="0"/>
                      <w:color w:val="auto"/>
                      <w:sz w:val="21"/>
                      <w:szCs w:val="21"/>
                      <w:highlight w:val="none"/>
                      <w:vertAlign w:val="superscript"/>
                      <w:lang w:val="en-US" w:eastAsia="zh-CN"/>
                    </w:rPr>
                    <w:t>3</w:t>
                  </w:r>
                </w:p>
              </w:tc>
              <w:tc>
                <w:tcPr>
                  <w:tcW w:w="1429" w:type="dxa"/>
                  <w:noWrap w:val="0"/>
                  <w:vAlign w:val="center"/>
                </w:tcPr>
                <w:p w14:paraId="11CE159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2.55</w:t>
                  </w:r>
                  <w:r>
                    <w:rPr>
                      <w:rFonts w:hint="eastAsia" w:ascii="Times New Roman" w:hAnsi="Times New Roman" w:eastAsia="宋体" w:cs="Times New Roman"/>
                      <w:b w:val="0"/>
                      <w:bCs w:val="0"/>
                      <w:color w:val="auto"/>
                      <w:sz w:val="21"/>
                      <w:szCs w:val="21"/>
                      <w:highlight w:val="none"/>
                      <w:vertAlign w:val="baseline"/>
                      <w:lang w:val="en-US" w:eastAsia="zh-CN"/>
                    </w:rPr>
                    <w:t>kg/h</w:t>
                  </w:r>
                </w:p>
              </w:tc>
            </w:tr>
            <w:tr w14:paraId="79E19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noWrap w:val="0"/>
                  <w:vAlign w:val="center"/>
                </w:tcPr>
                <w:p w14:paraId="2C02CA0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935" w:type="dxa"/>
                  <w:noWrap w:val="0"/>
                  <w:vAlign w:val="center"/>
                </w:tcPr>
                <w:p w14:paraId="2AC4DD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上光油墨废气</w:t>
                  </w:r>
                </w:p>
              </w:tc>
              <w:tc>
                <w:tcPr>
                  <w:tcW w:w="885" w:type="dxa"/>
                  <w:vMerge w:val="continue"/>
                  <w:noWrap w:val="0"/>
                  <w:vAlign w:val="top"/>
                </w:tcPr>
                <w:p w14:paraId="7589CB4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230" w:type="dxa"/>
                  <w:noWrap w:val="0"/>
                  <w:vAlign w:val="center"/>
                </w:tcPr>
                <w:p w14:paraId="226E166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臭气浓度</w:t>
                  </w:r>
                </w:p>
              </w:tc>
              <w:tc>
                <w:tcPr>
                  <w:tcW w:w="735" w:type="dxa"/>
                  <w:vMerge w:val="continue"/>
                  <w:noWrap w:val="0"/>
                  <w:vAlign w:val="center"/>
                </w:tcPr>
                <w:p w14:paraId="6AB82F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005" w:type="dxa"/>
                  <w:noWrap w:val="0"/>
                  <w:vAlign w:val="center"/>
                </w:tcPr>
                <w:p w14:paraId="74684B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w:t>
                  </w:r>
                </w:p>
              </w:tc>
              <w:tc>
                <w:tcPr>
                  <w:tcW w:w="1429" w:type="dxa"/>
                  <w:noWrap w:val="0"/>
                  <w:vAlign w:val="center"/>
                </w:tcPr>
                <w:p w14:paraId="1AA6FD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6000(无量纲)</w:t>
                  </w:r>
                </w:p>
              </w:tc>
            </w:tr>
            <w:tr w14:paraId="332EB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1" w:type="dxa"/>
                  <w:gridSpan w:val="7"/>
                  <w:noWrap w:val="0"/>
                  <w:vAlign w:val="top"/>
                </w:tcPr>
                <w:p w14:paraId="181E0CB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标准说明：</w:t>
                  </w:r>
                </w:p>
                <w:p w14:paraId="6D9F15C6">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right="0" w:rightChars="0" w:firstLine="42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eastAsia" w:cs="Times New Roman"/>
                      <w:b w:val="0"/>
                      <w:bCs w:val="0"/>
                      <w:color w:val="auto"/>
                      <w:sz w:val="21"/>
                      <w:szCs w:val="21"/>
                      <w:highlight w:val="none"/>
                      <w:vertAlign w:val="baseline"/>
                      <w:lang w:val="en-US" w:eastAsia="zh-CN"/>
                    </w:rPr>
                    <w:t>1.</w:t>
                  </w:r>
                  <w:r>
                    <w:rPr>
                      <w:rFonts w:hint="default" w:ascii="Times New Roman" w:hAnsi="Times New Roman" w:eastAsia="宋体" w:cs="Times New Roman"/>
                      <w:b w:val="0"/>
                      <w:bCs w:val="0"/>
                      <w:color w:val="auto"/>
                      <w:sz w:val="21"/>
                      <w:szCs w:val="21"/>
                      <w:highlight w:val="none"/>
                      <w:vertAlign w:val="baseline"/>
                      <w:lang w:val="en-US" w:eastAsia="zh-CN"/>
                    </w:rPr>
                    <w:t>NMHC</w:t>
                  </w:r>
                  <w:r>
                    <w:rPr>
                      <w:rFonts w:hint="eastAsia" w:ascii="Times New Roman" w:hAnsi="Times New Roman" w:eastAsia="宋体" w:cs="Times New Roman"/>
                      <w:b w:val="0"/>
                      <w:bCs w:val="0"/>
                      <w:color w:val="auto"/>
                      <w:sz w:val="21"/>
                      <w:szCs w:val="21"/>
                      <w:highlight w:val="none"/>
                      <w:vertAlign w:val="baseline"/>
                      <w:lang w:val="en-US" w:eastAsia="zh-CN"/>
                    </w:rPr>
                    <w:t>《印刷工业大气污染物排放标准》（GB41616-2022）表1大气污染物排放限值</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vertAlign w:val="baseline"/>
                      <w:lang w:val="en-US" w:eastAsia="zh-CN"/>
                    </w:rPr>
                    <w:t>总VOC</w:t>
                  </w:r>
                  <w:r>
                    <w:rPr>
                      <w:rFonts w:hint="eastAsia" w:ascii="Times New Roman" w:hAnsi="Times New Roman" w:eastAsia="宋体" w:cs="Times New Roman"/>
                      <w:b w:val="0"/>
                      <w:bCs w:val="0"/>
                      <w:color w:val="auto"/>
                      <w:sz w:val="21"/>
                      <w:szCs w:val="21"/>
                      <w:highlight w:val="none"/>
                      <w:vertAlign w:val="baseline"/>
                      <w:lang w:val="en-US" w:eastAsia="zh-CN"/>
                    </w:rPr>
                    <w:t>执行</w:t>
                  </w:r>
                  <w:r>
                    <w:rPr>
                      <w:rFonts w:hint="default" w:ascii="Times New Roman" w:hAnsi="Times New Roman" w:eastAsia="宋体" w:cs="Times New Roman"/>
                      <w:color w:val="auto"/>
                      <w:sz w:val="21"/>
                      <w:szCs w:val="21"/>
                      <w:highlight w:val="none"/>
                    </w:rPr>
                    <w:t>《印刷行业挥发性有机化合物排放标准》（DB44/815-2010）表2排气筒VOCs排放限值中平版印刷第Ⅱ时段标准</w:t>
                  </w:r>
                  <w:r>
                    <w:rPr>
                      <w:rFonts w:hint="eastAsia" w:ascii="Times New Roman" w:hAnsi="Times New Roman" w:eastAsia="宋体" w:cs="Times New Roman"/>
                      <w:color w:val="auto"/>
                      <w:sz w:val="21"/>
                      <w:szCs w:val="21"/>
                      <w:highlight w:val="none"/>
                      <w:lang w:eastAsia="zh-CN"/>
                    </w:rPr>
                    <w:t>。</w:t>
                  </w:r>
                </w:p>
                <w:p w14:paraId="7DBE5E03">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right="0" w:rightChars="0" w:firstLine="420" w:firstLineChars="200"/>
                    <w:jc w:val="both"/>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lang w:val="en-US" w:eastAsia="zh-CN"/>
                    </w:rPr>
                    <w:t>臭气浓度执行《恶臭污染物排放标准》（GB14554-93）表2恶臭污染物排放标准值</w:t>
                  </w:r>
                  <w:r>
                    <w:rPr>
                      <w:rFonts w:hint="eastAsia" w:cs="Times New Roman"/>
                      <w:color w:val="auto"/>
                      <w:sz w:val="21"/>
                      <w:szCs w:val="21"/>
                      <w:highlight w:val="none"/>
                      <w:lang w:val="en-US" w:eastAsia="zh-CN"/>
                    </w:rPr>
                    <w:t>；</w:t>
                  </w:r>
                </w:p>
                <w:p w14:paraId="662F118B">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right="0" w:rightChars="0" w:firstLine="420" w:firstLineChars="200"/>
                    <w:jc w:val="both"/>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3.本项目排气筒高度未能高出周围200m半径范围的建筑5m以上，因此按其高度采用内插法计算的排放速率限值的50%执行。</w:t>
                  </w:r>
                </w:p>
              </w:tc>
            </w:tr>
          </w:tbl>
          <w:p w14:paraId="23A05F96">
            <w:pPr>
              <w:keepNext w:val="0"/>
              <w:keepLines w:val="0"/>
              <w:pageBreakBefore w:val="0"/>
              <w:widowControl/>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rPr>
                <w:rFonts w:hint="eastAsia" w:ascii="Times New Roman" w:hAnsi="Times New Roman" w:eastAsia="宋体" w:cs="Times New Roman"/>
                <w:b/>
                <w:color w:val="auto"/>
                <w:kern w:val="2"/>
                <w:sz w:val="21"/>
                <w:szCs w:val="21"/>
                <w:highlight w:val="none"/>
                <w:lang w:val="en-US" w:eastAsia="zh-CN"/>
              </w:rPr>
            </w:pPr>
            <w:r>
              <w:rPr>
                <w:rFonts w:hint="eastAsia" w:ascii="Times New Roman" w:hAnsi="Times New Roman" w:eastAsia="宋体" w:cs="Times New Roman"/>
                <w:b/>
                <w:color w:val="auto"/>
                <w:kern w:val="2"/>
                <w:sz w:val="21"/>
                <w:szCs w:val="21"/>
                <w:highlight w:val="none"/>
                <w:lang w:val="en-US" w:eastAsia="zh-CN"/>
              </w:rPr>
              <w:t>表3-4 项目大气污染物无组织排放限值一览表</w:t>
            </w:r>
          </w:p>
          <w:tbl>
            <w:tblPr>
              <w:tblStyle w:val="31"/>
              <w:tblW w:w="766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09"/>
              <w:gridCol w:w="764"/>
              <w:gridCol w:w="1644"/>
              <w:gridCol w:w="4046"/>
            </w:tblGrid>
            <w:tr w14:paraId="4E5DA2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jc w:val="center"/>
              </w:trPr>
              <w:tc>
                <w:tcPr>
                  <w:tcW w:w="1209" w:type="dxa"/>
                  <w:vMerge w:val="restart"/>
                  <w:tcBorders>
                    <w:tl2br w:val="nil"/>
                    <w:tr2bl w:val="nil"/>
                  </w:tcBorders>
                  <w:noWrap w:val="0"/>
                  <w:vAlign w:val="center"/>
                </w:tcPr>
                <w:p w14:paraId="318F9C78">
                  <w:pPr>
                    <w:spacing w:line="240" w:lineRule="auto"/>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污染因子</w:t>
                  </w:r>
                </w:p>
              </w:tc>
              <w:tc>
                <w:tcPr>
                  <w:tcW w:w="2408" w:type="dxa"/>
                  <w:gridSpan w:val="2"/>
                  <w:vMerge w:val="restart"/>
                  <w:tcBorders>
                    <w:tl2br w:val="nil"/>
                    <w:tr2bl w:val="nil"/>
                  </w:tcBorders>
                  <w:noWrap w:val="0"/>
                  <w:vAlign w:val="center"/>
                </w:tcPr>
                <w:p w14:paraId="21FFD10D">
                  <w:pPr>
                    <w:spacing w:line="240" w:lineRule="auto"/>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无组织排放监控浓度限值</w:t>
                  </w:r>
                  <w:r>
                    <w:rPr>
                      <w:rFonts w:hint="default" w:ascii="Times New Roman" w:hAnsi="Times New Roman" w:eastAsia="宋体" w:cs="Times New Roman"/>
                      <w:b/>
                      <w:bCs/>
                      <w:color w:val="auto"/>
                      <w:sz w:val="21"/>
                      <w:szCs w:val="21"/>
                    </w:rPr>
                    <w:t>（mg/</w:t>
                  </w:r>
                  <w:r>
                    <w:rPr>
                      <w:rFonts w:hint="default" w:ascii="Times New Roman" w:hAnsi="Times New Roman" w:eastAsia="宋体" w:cs="Times New Roman"/>
                      <w:b/>
                      <w:bCs/>
                      <w:color w:val="auto"/>
                      <w:sz w:val="21"/>
                      <w:szCs w:val="21"/>
                      <w:highlight w:val="none"/>
                    </w:rPr>
                    <w:t>m</w:t>
                  </w:r>
                  <w:r>
                    <w:rPr>
                      <w:rFonts w:hint="default" w:ascii="Times New Roman" w:hAnsi="Times New Roman" w:eastAsia="宋体" w:cs="Times New Roman"/>
                      <w:b/>
                      <w:bCs/>
                      <w:color w:val="auto"/>
                      <w:sz w:val="21"/>
                      <w:szCs w:val="21"/>
                      <w:highlight w:val="none"/>
                      <w:vertAlign w:val="superscript"/>
                    </w:rPr>
                    <w:t>3</w:t>
                  </w:r>
                  <w:r>
                    <w:rPr>
                      <w:rFonts w:hint="default" w:ascii="Times New Roman" w:hAnsi="Times New Roman" w:eastAsia="宋体" w:cs="Times New Roman"/>
                      <w:b/>
                      <w:bCs/>
                      <w:color w:val="auto"/>
                      <w:sz w:val="21"/>
                      <w:szCs w:val="21"/>
                    </w:rPr>
                    <w:t>）</w:t>
                  </w:r>
                </w:p>
              </w:tc>
              <w:tc>
                <w:tcPr>
                  <w:tcW w:w="4046" w:type="dxa"/>
                  <w:vMerge w:val="restart"/>
                  <w:tcBorders>
                    <w:tl2br w:val="nil"/>
                    <w:tr2bl w:val="nil"/>
                  </w:tcBorders>
                  <w:noWrap w:val="0"/>
                  <w:vAlign w:val="center"/>
                </w:tcPr>
                <w:p w14:paraId="235AA709">
                  <w:pPr>
                    <w:spacing w:line="240" w:lineRule="auto"/>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标准来源</w:t>
                  </w:r>
                </w:p>
              </w:tc>
            </w:tr>
            <w:tr w14:paraId="5A3E57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jc w:val="center"/>
              </w:trPr>
              <w:tc>
                <w:tcPr>
                  <w:tcW w:w="1209" w:type="dxa"/>
                  <w:vMerge w:val="continue"/>
                  <w:tcBorders>
                    <w:tl2br w:val="nil"/>
                    <w:tr2bl w:val="nil"/>
                  </w:tcBorders>
                  <w:noWrap w:val="0"/>
                  <w:vAlign w:val="center"/>
                </w:tcPr>
                <w:p w14:paraId="4DF694D9">
                  <w:pPr>
                    <w:spacing w:line="240" w:lineRule="auto"/>
                    <w:jc w:val="center"/>
                    <w:rPr>
                      <w:rFonts w:hint="default" w:ascii="Times New Roman" w:hAnsi="Times New Roman" w:eastAsia="宋体" w:cs="Times New Roman"/>
                      <w:color w:val="auto"/>
                      <w:sz w:val="21"/>
                      <w:szCs w:val="21"/>
                    </w:rPr>
                  </w:pPr>
                </w:p>
              </w:tc>
              <w:tc>
                <w:tcPr>
                  <w:tcW w:w="2408" w:type="dxa"/>
                  <w:gridSpan w:val="2"/>
                  <w:vMerge w:val="continue"/>
                  <w:tcBorders>
                    <w:tl2br w:val="nil"/>
                    <w:tr2bl w:val="nil"/>
                  </w:tcBorders>
                  <w:noWrap w:val="0"/>
                  <w:vAlign w:val="center"/>
                </w:tcPr>
                <w:p w14:paraId="799F0614">
                  <w:pPr>
                    <w:spacing w:line="240" w:lineRule="auto"/>
                    <w:jc w:val="center"/>
                    <w:rPr>
                      <w:rFonts w:hint="default" w:ascii="Times New Roman" w:hAnsi="Times New Roman" w:eastAsia="宋体" w:cs="Times New Roman"/>
                      <w:b/>
                      <w:bCs/>
                      <w:color w:val="auto"/>
                      <w:sz w:val="21"/>
                      <w:szCs w:val="21"/>
                    </w:rPr>
                  </w:pPr>
                </w:p>
              </w:tc>
              <w:tc>
                <w:tcPr>
                  <w:tcW w:w="4046" w:type="dxa"/>
                  <w:vMerge w:val="continue"/>
                  <w:tcBorders>
                    <w:tl2br w:val="nil"/>
                    <w:tr2bl w:val="nil"/>
                  </w:tcBorders>
                  <w:noWrap w:val="0"/>
                  <w:vAlign w:val="center"/>
                </w:tcPr>
                <w:p w14:paraId="15C1E3D1">
                  <w:pPr>
                    <w:spacing w:line="240" w:lineRule="auto"/>
                    <w:jc w:val="center"/>
                    <w:rPr>
                      <w:rFonts w:hint="default" w:ascii="Times New Roman" w:hAnsi="Times New Roman" w:eastAsia="宋体" w:cs="Times New Roman"/>
                      <w:color w:val="auto"/>
                      <w:sz w:val="21"/>
                      <w:szCs w:val="21"/>
                    </w:rPr>
                  </w:pPr>
                </w:p>
              </w:tc>
            </w:tr>
            <w:tr w14:paraId="03A82C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jc w:val="center"/>
              </w:trPr>
              <w:tc>
                <w:tcPr>
                  <w:tcW w:w="1209" w:type="dxa"/>
                  <w:tcBorders>
                    <w:tl2br w:val="nil"/>
                    <w:tr2bl w:val="nil"/>
                  </w:tcBorders>
                  <w:noWrap w:val="0"/>
                  <w:vAlign w:val="center"/>
                </w:tcPr>
                <w:p w14:paraId="35F8FC3A">
                  <w:pPr>
                    <w:pStyle w:val="87"/>
                    <w:snapToGrid w:val="0"/>
                    <w:spacing w:line="240" w:lineRule="auto"/>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臭气浓度</w:t>
                  </w:r>
                </w:p>
              </w:tc>
              <w:tc>
                <w:tcPr>
                  <w:tcW w:w="2408" w:type="dxa"/>
                  <w:gridSpan w:val="2"/>
                  <w:tcBorders>
                    <w:tl2br w:val="nil"/>
                    <w:tr2bl w:val="nil"/>
                  </w:tcBorders>
                  <w:noWrap w:val="0"/>
                  <w:vAlign w:val="center"/>
                </w:tcPr>
                <w:p w14:paraId="35DDDD65">
                  <w:pPr>
                    <w:pStyle w:val="87"/>
                    <w:spacing w:line="240" w:lineRule="auto"/>
                    <w:ind w:left="0" w:leftChars="0" w:firstLine="0" w:firstLineChars="0"/>
                    <w:jc w:val="center"/>
                    <w:rPr>
                      <w:rFonts w:hint="default" w:ascii="Times New Roman" w:hAnsi="Times New Roman" w:eastAsia="宋体" w:cs="Times New Roman"/>
                      <w:color w:val="auto"/>
                      <w:kern w:val="11"/>
                      <w:sz w:val="21"/>
                      <w:szCs w:val="21"/>
                      <w:lang w:val="en-US" w:eastAsia="zh-CN" w:bidi="ar-SA"/>
                    </w:rPr>
                  </w:pPr>
                  <w:r>
                    <w:rPr>
                      <w:rFonts w:hint="default" w:ascii="Times New Roman" w:hAnsi="Times New Roman" w:eastAsia="宋体" w:cs="Times New Roman"/>
                      <w:color w:val="auto"/>
                      <w:sz w:val="21"/>
                      <w:szCs w:val="21"/>
                    </w:rPr>
                    <w:t>≤20</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无纲量</w:t>
                  </w:r>
                  <w:r>
                    <w:rPr>
                      <w:rFonts w:hint="eastAsia" w:ascii="Times New Roman" w:hAnsi="Times New Roman" w:eastAsia="宋体" w:cs="Times New Roman"/>
                      <w:color w:val="auto"/>
                      <w:sz w:val="21"/>
                      <w:szCs w:val="21"/>
                      <w:lang w:eastAsia="zh-CN"/>
                    </w:rPr>
                    <w:t>）</w:t>
                  </w:r>
                </w:p>
              </w:tc>
              <w:tc>
                <w:tcPr>
                  <w:tcW w:w="4046" w:type="dxa"/>
                  <w:tcBorders>
                    <w:tl2br w:val="nil"/>
                    <w:tr2bl w:val="nil"/>
                  </w:tcBorders>
                  <w:noWrap w:val="0"/>
                  <w:vAlign w:val="center"/>
                </w:tcPr>
                <w:p w14:paraId="7B4A9CB2">
                  <w:pPr>
                    <w:keepNext w:val="0"/>
                    <w:keepLines w:val="0"/>
                    <w:pageBreakBefore w:val="0"/>
                    <w:widowControl w:val="0"/>
                    <w:kinsoku/>
                    <w:wordWrap/>
                    <w:overflowPunct/>
                    <w:topLinePunct w:val="0"/>
                    <w:autoSpaceDE/>
                    <w:autoSpaceDN/>
                    <w:bidi w:val="0"/>
                    <w:adjustRightInd/>
                    <w:snapToGrid/>
                    <w:spacing w:line="240" w:lineRule="auto"/>
                    <w:ind w:left="42" w:leftChars="20" w:right="42" w:rightChars="20"/>
                    <w:jc w:val="both"/>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《恶臭污染物排放标准》（GB14554-93）</w:t>
                  </w:r>
                  <w:r>
                    <w:rPr>
                      <w:rFonts w:hint="default" w:ascii="Times New Roman" w:hAnsi="Times New Roman" w:eastAsia="宋体" w:cs="Times New Roman"/>
                      <w:b w:val="0"/>
                      <w:color w:val="auto"/>
                      <w:kern w:val="2"/>
                      <w:sz w:val="21"/>
                      <w:szCs w:val="21"/>
                      <w:highlight w:val="none"/>
                      <w:lang w:val="en-US" w:eastAsia="zh-CN" w:bidi="ar-SA"/>
                    </w:rPr>
                    <w:t>表1恶臭污染物厂界标准值中二级新改扩建标准</w:t>
                  </w:r>
                </w:p>
              </w:tc>
            </w:tr>
            <w:tr w14:paraId="3197B2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7" w:hRule="atLeast"/>
                <w:jc w:val="center"/>
              </w:trPr>
              <w:tc>
                <w:tcPr>
                  <w:tcW w:w="1209" w:type="dxa"/>
                  <w:tcBorders>
                    <w:tl2br w:val="nil"/>
                    <w:tr2bl w:val="nil"/>
                  </w:tcBorders>
                  <w:noWrap w:val="0"/>
                  <w:vAlign w:val="center"/>
                </w:tcPr>
                <w:p w14:paraId="745A1C4C">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总VOCs</w:t>
                  </w:r>
                </w:p>
              </w:tc>
              <w:tc>
                <w:tcPr>
                  <w:tcW w:w="764" w:type="dxa"/>
                  <w:tcBorders>
                    <w:bottom w:val="single" w:color="auto" w:sz="4" w:space="0"/>
                    <w:right w:val="single" w:color="auto" w:sz="4" w:space="0"/>
                    <w:tl2br w:val="nil"/>
                    <w:tr2bl w:val="nil"/>
                  </w:tcBorders>
                  <w:noWrap w:val="0"/>
                  <w:vAlign w:val="center"/>
                </w:tcPr>
                <w:p w14:paraId="7E3D3D71">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厂界</w:t>
                  </w:r>
                </w:p>
              </w:tc>
              <w:tc>
                <w:tcPr>
                  <w:tcW w:w="1644" w:type="dxa"/>
                  <w:tcBorders>
                    <w:left w:val="single" w:color="auto" w:sz="4" w:space="0"/>
                    <w:bottom w:val="single" w:color="auto" w:sz="4" w:space="0"/>
                    <w:tl2br w:val="nil"/>
                    <w:tr2bl w:val="nil"/>
                  </w:tcBorders>
                  <w:noWrap w:val="0"/>
                  <w:vAlign w:val="center"/>
                </w:tcPr>
                <w:p w14:paraId="3F503EC1">
                  <w:pPr>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r>
                    <w:rPr>
                      <w:rFonts w:hint="default" w:ascii="Times New Roman" w:hAnsi="Times New Roman" w:eastAsia="宋体" w:cs="Times New Roman"/>
                      <w:color w:val="auto"/>
                      <w:sz w:val="21"/>
                      <w:szCs w:val="21"/>
                      <w:lang w:val="en-US" w:eastAsia="zh-CN"/>
                    </w:rPr>
                    <w:t>.0</w:t>
                  </w:r>
                </w:p>
              </w:tc>
              <w:tc>
                <w:tcPr>
                  <w:tcW w:w="4046" w:type="dxa"/>
                  <w:tcBorders>
                    <w:bottom w:val="single" w:color="auto" w:sz="4" w:space="0"/>
                    <w:tl2br w:val="nil"/>
                    <w:tr2bl w:val="nil"/>
                  </w:tcBorders>
                  <w:noWrap w:val="0"/>
                  <w:vAlign w:val="center"/>
                </w:tcPr>
                <w:p w14:paraId="1216357A">
                  <w:pPr>
                    <w:keepNext w:val="0"/>
                    <w:keepLines w:val="0"/>
                    <w:pageBreakBefore w:val="0"/>
                    <w:widowControl w:val="0"/>
                    <w:kinsoku/>
                    <w:wordWrap w:val="0"/>
                    <w:overflowPunct/>
                    <w:topLinePunct w:val="0"/>
                    <w:autoSpaceDE/>
                    <w:autoSpaceDN/>
                    <w:bidi w:val="0"/>
                    <w:adjustRightInd/>
                    <w:snapToGrid/>
                    <w:spacing w:line="240" w:lineRule="auto"/>
                    <w:ind w:left="42" w:leftChars="20" w:right="42" w:rightChars="20"/>
                    <w:jc w:val="both"/>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《印刷工业大气污染物排放标准》（GB41616-2022）表A.1的要求以及广东省地方标准《固定污染源挥发性有机物综合排放标准》（DB44/2367-2022）表3 厂区内VOCs无组织排放限值两者较严值</w:t>
                  </w:r>
                </w:p>
              </w:tc>
            </w:tr>
            <w:tr w14:paraId="6FE1F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jc w:val="center"/>
              </w:trPr>
              <w:tc>
                <w:tcPr>
                  <w:tcW w:w="1209" w:type="dxa"/>
                  <w:vMerge w:val="restart"/>
                  <w:tcBorders>
                    <w:tl2br w:val="nil"/>
                    <w:tr2bl w:val="nil"/>
                  </w:tcBorders>
                  <w:noWrap w:val="0"/>
                  <w:vAlign w:val="center"/>
                </w:tcPr>
                <w:p w14:paraId="0F3B0915">
                  <w:pPr>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非甲烷总烃</w:t>
                  </w:r>
                </w:p>
              </w:tc>
              <w:tc>
                <w:tcPr>
                  <w:tcW w:w="764" w:type="dxa"/>
                  <w:vMerge w:val="restart"/>
                  <w:tcBorders>
                    <w:top w:val="single" w:color="auto" w:sz="4" w:space="0"/>
                    <w:right w:val="single" w:color="auto" w:sz="4" w:space="0"/>
                    <w:tl2br w:val="nil"/>
                    <w:tr2bl w:val="nil"/>
                  </w:tcBorders>
                  <w:noWrap w:val="0"/>
                  <w:vAlign w:val="center"/>
                </w:tcPr>
                <w:p w14:paraId="5028E20B">
                  <w:pPr>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厂区内</w:t>
                  </w:r>
                </w:p>
              </w:tc>
              <w:tc>
                <w:tcPr>
                  <w:tcW w:w="1644" w:type="dxa"/>
                  <w:tcBorders>
                    <w:top w:val="single" w:color="auto" w:sz="4" w:space="0"/>
                    <w:left w:val="single" w:color="auto" w:sz="4" w:space="0"/>
                    <w:bottom w:val="single" w:color="auto" w:sz="4" w:space="0"/>
                    <w:tl2br w:val="nil"/>
                    <w:tr2bl w:val="nil"/>
                  </w:tcBorders>
                  <w:noWrap w:val="0"/>
                  <w:vAlign w:val="center"/>
                </w:tcPr>
                <w:p w14:paraId="572406B6">
                  <w:pPr>
                    <w:pStyle w:val="88"/>
                    <w:spacing w:line="240" w:lineRule="auto"/>
                    <w:ind w:left="0" w:leftChars="0" w:firstLine="0" w:firstLineChars="0"/>
                    <w:jc w:val="both"/>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sz w:val="21"/>
                      <w:szCs w:val="21"/>
                      <w:lang w:val="en-US" w:eastAsia="zh-CN"/>
                    </w:rPr>
                    <w:t>6</w:t>
                  </w:r>
                  <w:r>
                    <w:rPr>
                      <w:rFonts w:hint="eastAsia" w:ascii="Times New Roman" w:hAnsi="Times New Roman" w:eastAsia="宋体"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rPr>
                    <w:t>监控点处1小时平均浓度值</w:t>
                  </w:r>
                  <w:r>
                    <w:rPr>
                      <w:rFonts w:hint="eastAsia" w:ascii="Times New Roman" w:hAnsi="Times New Roman" w:eastAsia="宋体" w:cs="Times New Roman"/>
                      <w:b w:val="0"/>
                      <w:bCs w:val="0"/>
                      <w:color w:val="auto"/>
                      <w:sz w:val="21"/>
                      <w:szCs w:val="21"/>
                      <w:lang w:val="en-US" w:eastAsia="zh-CN"/>
                    </w:rPr>
                    <w:t>）</w:t>
                  </w:r>
                </w:p>
              </w:tc>
              <w:tc>
                <w:tcPr>
                  <w:tcW w:w="4046" w:type="dxa"/>
                  <w:vMerge w:val="restart"/>
                  <w:tcBorders>
                    <w:top w:val="single" w:color="auto" w:sz="4" w:space="0"/>
                    <w:tl2br w:val="nil"/>
                    <w:tr2bl w:val="nil"/>
                  </w:tcBorders>
                  <w:noWrap w:val="0"/>
                  <w:vAlign w:val="center"/>
                </w:tcPr>
                <w:p w14:paraId="3CB8DA4D">
                  <w:pPr>
                    <w:keepNext w:val="0"/>
                    <w:keepLines w:val="0"/>
                    <w:pageBreakBefore w:val="0"/>
                    <w:widowControl w:val="0"/>
                    <w:kinsoku/>
                    <w:wordWrap/>
                    <w:overflowPunct/>
                    <w:topLinePunct w:val="0"/>
                    <w:autoSpaceDE/>
                    <w:autoSpaceDN/>
                    <w:bidi w:val="0"/>
                    <w:adjustRightInd/>
                    <w:snapToGrid/>
                    <w:spacing w:line="240" w:lineRule="auto"/>
                    <w:ind w:left="42" w:leftChars="20" w:right="42" w:rightChars="20"/>
                    <w:jc w:val="both"/>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rPr>
                    <w:t>《印刷工业大气污染物排放标准》（GB41616-2022）表A.1厂区内VOCs无组织排放限值</w:t>
                  </w:r>
                </w:p>
              </w:tc>
            </w:tr>
            <w:tr w14:paraId="6039C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jc w:val="center"/>
              </w:trPr>
              <w:tc>
                <w:tcPr>
                  <w:tcW w:w="1209" w:type="dxa"/>
                  <w:vMerge w:val="continue"/>
                  <w:tcBorders>
                    <w:bottom w:val="single" w:color="auto" w:sz="4" w:space="0"/>
                    <w:tl2br w:val="nil"/>
                    <w:tr2bl w:val="nil"/>
                  </w:tcBorders>
                  <w:noWrap w:val="0"/>
                  <w:vAlign w:val="center"/>
                </w:tcPr>
                <w:p w14:paraId="21313A53">
                  <w:pPr>
                    <w:spacing w:line="240" w:lineRule="auto"/>
                    <w:jc w:val="center"/>
                    <w:rPr>
                      <w:rFonts w:hint="default" w:ascii="Times New Roman" w:hAnsi="Times New Roman" w:eastAsia="宋体" w:cs="Times New Roman"/>
                      <w:color w:val="auto"/>
                      <w:sz w:val="21"/>
                      <w:szCs w:val="21"/>
                      <w:lang w:val="en-US" w:eastAsia="zh-CN"/>
                    </w:rPr>
                  </w:pPr>
                </w:p>
              </w:tc>
              <w:tc>
                <w:tcPr>
                  <w:tcW w:w="764" w:type="dxa"/>
                  <w:vMerge w:val="continue"/>
                  <w:tcBorders>
                    <w:bottom w:val="single" w:color="auto" w:sz="4" w:space="0"/>
                    <w:right w:val="single" w:color="auto" w:sz="4" w:space="0"/>
                    <w:tl2br w:val="nil"/>
                    <w:tr2bl w:val="nil"/>
                  </w:tcBorders>
                  <w:noWrap w:val="0"/>
                  <w:vAlign w:val="center"/>
                </w:tcPr>
                <w:p w14:paraId="7455A56C">
                  <w:pPr>
                    <w:spacing w:line="240" w:lineRule="auto"/>
                    <w:jc w:val="center"/>
                    <w:rPr>
                      <w:rFonts w:hint="default" w:ascii="Times New Roman" w:hAnsi="Times New Roman" w:eastAsia="宋体" w:cs="Times New Roman"/>
                      <w:color w:val="auto"/>
                      <w:sz w:val="21"/>
                      <w:szCs w:val="21"/>
                      <w:lang w:val="en-US" w:eastAsia="zh-CN"/>
                    </w:rPr>
                  </w:pPr>
                </w:p>
              </w:tc>
              <w:tc>
                <w:tcPr>
                  <w:tcW w:w="1644" w:type="dxa"/>
                  <w:tcBorders>
                    <w:top w:val="single" w:color="auto" w:sz="4" w:space="0"/>
                    <w:left w:val="single" w:color="auto" w:sz="4" w:space="0"/>
                    <w:bottom w:val="single" w:color="auto" w:sz="4" w:space="0"/>
                    <w:tl2br w:val="nil"/>
                    <w:tr2bl w:val="nil"/>
                  </w:tcBorders>
                  <w:noWrap w:val="0"/>
                  <w:vAlign w:val="center"/>
                </w:tcPr>
                <w:p w14:paraId="2C05AE1E">
                  <w:pPr>
                    <w:pStyle w:val="88"/>
                    <w:spacing w:line="240" w:lineRule="auto"/>
                    <w:ind w:left="0" w:leftChars="0" w:firstLine="0" w:firstLineChars="0"/>
                    <w:jc w:val="both"/>
                    <w:rPr>
                      <w:rFonts w:hint="default" w:ascii="Times New Roman" w:hAnsi="Times New Roman" w:eastAsia="宋体" w:cs="Times New Roman"/>
                      <w:b w:val="0"/>
                      <w:bCs w:val="0"/>
                      <w:color w:val="auto"/>
                      <w:kern w:val="0"/>
                      <w:sz w:val="21"/>
                      <w:szCs w:val="21"/>
                      <w:lang w:val="en-US" w:eastAsia="zh-CN" w:bidi="ar-SA"/>
                    </w:rPr>
                  </w:pPr>
                  <w:r>
                    <w:rPr>
                      <w:rFonts w:hint="eastAsia" w:ascii="Times New Roman" w:hAnsi="Times New Roman" w:eastAsia="宋体" w:cs="Times New Roman"/>
                      <w:b w:val="0"/>
                      <w:bCs w:val="0"/>
                      <w:color w:val="auto"/>
                      <w:sz w:val="21"/>
                      <w:szCs w:val="21"/>
                      <w:lang w:val="en-US" w:eastAsia="zh-CN"/>
                    </w:rPr>
                    <w:t>20（</w:t>
                  </w:r>
                  <w:r>
                    <w:rPr>
                      <w:rFonts w:hint="default" w:ascii="Times New Roman" w:hAnsi="Times New Roman" w:eastAsia="宋体" w:cs="Times New Roman"/>
                      <w:b w:val="0"/>
                      <w:bCs w:val="0"/>
                      <w:color w:val="auto"/>
                      <w:sz w:val="21"/>
                      <w:szCs w:val="21"/>
                      <w:lang w:val="en-US" w:eastAsia="zh-CN"/>
                    </w:rPr>
                    <w:t>监控点处任意一次浓度值</w:t>
                  </w:r>
                  <w:r>
                    <w:rPr>
                      <w:rFonts w:hint="eastAsia" w:ascii="Times New Roman" w:hAnsi="Times New Roman" w:eastAsia="宋体" w:cs="Times New Roman"/>
                      <w:b w:val="0"/>
                      <w:bCs w:val="0"/>
                      <w:color w:val="auto"/>
                      <w:sz w:val="21"/>
                      <w:szCs w:val="21"/>
                      <w:lang w:val="en-US" w:eastAsia="zh-CN"/>
                    </w:rPr>
                    <w:t>）</w:t>
                  </w:r>
                </w:p>
              </w:tc>
              <w:tc>
                <w:tcPr>
                  <w:tcW w:w="4046" w:type="dxa"/>
                  <w:vMerge w:val="continue"/>
                  <w:tcBorders>
                    <w:bottom w:val="single" w:color="auto" w:sz="4" w:space="0"/>
                    <w:tl2br w:val="nil"/>
                    <w:tr2bl w:val="nil"/>
                  </w:tcBorders>
                  <w:noWrap w:val="0"/>
                  <w:vAlign w:val="center"/>
                </w:tcPr>
                <w:p w14:paraId="32AEF2A6">
                  <w:pPr>
                    <w:spacing w:line="240" w:lineRule="auto"/>
                    <w:jc w:val="center"/>
                    <w:rPr>
                      <w:rFonts w:hint="default" w:ascii="Times New Roman" w:hAnsi="Times New Roman" w:eastAsia="宋体" w:cs="Times New Roman"/>
                      <w:color w:val="auto"/>
                      <w:sz w:val="21"/>
                      <w:szCs w:val="21"/>
                    </w:rPr>
                  </w:pPr>
                </w:p>
              </w:tc>
            </w:tr>
          </w:tbl>
          <w:p w14:paraId="78CE464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color w:val="auto"/>
                <w:kern w:val="2"/>
                <w:sz w:val="21"/>
                <w:szCs w:val="21"/>
                <w:highlight w:val="none"/>
              </w:rPr>
            </w:pPr>
          </w:p>
          <w:p w14:paraId="13927B91">
            <w:pPr>
              <w:pStyle w:val="64"/>
              <w:keepNext w:val="0"/>
              <w:keepLines w:val="0"/>
              <w:pageBreakBefore w:val="0"/>
              <w:widowControl/>
              <w:suppressLineNumbers w:val="0"/>
              <w:kinsoku/>
              <w:wordWrap/>
              <w:overflowPunct/>
              <w:topLinePunct w:val="0"/>
              <w:autoSpaceDE/>
              <w:autoSpaceDN/>
              <w:bidi w:val="0"/>
              <w:adjustRightInd/>
              <w:snapToGrid/>
              <w:spacing w:before="157" w:beforeLines="50" w:beforeAutospacing="0" w:after="0" w:afterAutospacing="0"/>
              <w:ind w:left="0" w:right="0"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3、噪声排放标准</w:t>
            </w:r>
          </w:p>
          <w:p w14:paraId="2F3F5020">
            <w:pPr>
              <w:pStyle w:val="80"/>
              <w:keepNext w:val="0"/>
              <w:keepLines w:val="0"/>
              <w:suppressLineNumbers w:val="0"/>
              <w:spacing w:before="120" w:beforeLines="50" w:beforeAutospacing="0" w:after="0" w:afterAutospacing="0" w:line="360" w:lineRule="auto"/>
              <w:ind w:left="0" w:right="0" w:firstLine="480" w:firstLineChars="200"/>
              <w:jc w:val="both"/>
              <w:rPr>
                <w:rFonts w:hint="default" w:ascii="Times New Roman" w:hAnsi="Times New Roman" w:eastAsia="宋体" w:cs="Times New Roman"/>
                <w:color w:val="auto"/>
                <w:sz w:val="24"/>
                <w:highlight w:val="none"/>
              </w:rPr>
            </w:pPr>
            <w:r>
              <w:rPr>
                <w:rFonts w:hint="eastAsia" w:ascii="Times New Roman" w:eastAsia="宋体" w:cs="Times New Roman"/>
                <w:color w:val="auto"/>
                <w:sz w:val="24"/>
                <w:highlight w:val="none"/>
                <w:lang w:val="en-US" w:eastAsia="zh-CN"/>
              </w:rPr>
              <w:t>根据《阳江市市区声环境功能区区划》，广东阳东经济开发区，划分为3类区，因此</w:t>
            </w:r>
            <w:r>
              <w:rPr>
                <w:rFonts w:hint="default" w:ascii="Times New Roman" w:hAnsi="Times New Roman" w:eastAsia="宋体" w:cs="Times New Roman"/>
                <w:color w:val="auto"/>
                <w:sz w:val="24"/>
                <w:highlight w:val="none"/>
              </w:rPr>
              <w:t>本项目</w:t>
            </w:r>
            <w:r>
              <w:rPr>
                <w:rFonts w:hint="default" w:ascii="Times New Roman" w:hAnsi="Times New Roman" w:eastAsia="宋体" w:cs="Times New Roman"/>
                <w:color w:val="auto"/>
                <w:sz w:val="24"/>
                <w:highlight w:val="none"/>
                <w:lang w:val="en-US" w:eastAsia="zh-CN"/>
              </w:rPr>
              <w:t>厂界</w:t>
            </w:r>
            <w:r>
              <w:rPr>
                <w:rFonts w:hint="default" w:ascii="Times New Roman" w:hAnsi="Times New Roman" w:eastAsia="宋体" w:cs="Times New Roman"/>
                <w:color w:val="auto"/>
                <w:sz w:val="24"/>
                <w:highlight w:val="none"/>
              </w:rPr>
              <w:t>噪声执行《工业企业厂界环境噪声排放标准》(GB12348-2008)</w:t>
            </w:r>
            <w:r>
              <w:rPr>
                <w:rFonts w:hint="default" w:ascii="Times New Roman" w:hAnsi="Times New Roman" w:eastAsia="宋体" w:cs="Times New Roman"/>
                <w:color w:val="auto"/>
                <w:sz w:val="24"/>
                <w:highlight w:val="none"/>
                <w:lang w:val="en-US" w:eastAsia="zh-CN"/>
              </w:rPr>
              <w:t>3</w:t>
            </w:r>
            <w:r>
              <w:rPr>
                <w:rFonts w:hint="default" w:ascii="Times New Roman" w:hAnsi="Times New Roman" w:eastAsia="宋体" w:cs="Times New Roman"/>
                <w:color w:val="auto"/>
                <w:sz w:val="24"/>
                <w:highlight w:val="none"/>
              </w:rPr>
              <w:t>类标准</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具体见</w:t>
            </w:r>
            <w:r>
              <w:rPr>
                <w:rFonts w:hint="eastAsia" w:ascii="Times New Roman" w:cs="Times New Roman"/>
                <w:color w:val="auto"/>
                <w:sz w:val="24"/>
                <w:highlight w:val="none"/>
                <w:lang w:val="en-US" w:eastAsia="zh-CN"/>
              </w:rPr>
              <w:t>下</w:t>
            </w:r>
            <w:r>
              <w:rPr>
                <w:rFonts w:hint="default" w:ascii="Times New Roman" w:hAnsi="Times New Roman" w:eastAsia="宋体" w:cs="Times New Roman"/>
                <w:color w:val="auto"/>
                <w:sz w:val="24"/>
                <w:highlight w:val="none"/>
              </w:rPr>
              <w:t>表。</w:t>
            </w:r>
          </w:p>
          <w:p w14:paraId="66E9AB03">
            <w:pPr>
              <w:keepNext w:val="0"/>
              <w:keepLines w:val="0"/>
              <w:suppressLineNumbers w:val="0"/>
              <w:bidi w:val="0"/>
              <w:spacing w:before="0" w:beforeAutospacing="0" w:after="0" w:afterAutospacing="0" w:line="240" w:lineRule="auto"/>
              <w:ind w:left="0" w:right="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w:t>
            </w:r>
            <w:r>
              <w:rPr>
                <w:rFonts w:hint="eastAsia" w:cs="Times New Roman"/>
                <w:b/>
                <w:bCs/>
                <w:color w:val="auto"/>
                <w:highlight w:val="none"/>
                <w:lang w:val="en-US" w:eastAsia="zh-CN"/>
              </w:rPr>
              <w:t>3-5</w:t>
            </w:r>
            <w:r>
              <w:rPr>
                <w:rFonts w:hint="default" w:ascii="Times New Roman" w:hAnsi="Times New Roman" w:cs="Times New Roman"/>
                <w:b/>
                <w:bCs/>
                <w:color w:val="auto"/>
                <w:highlight w:val="none"/>
              </w:rPr>
              <w:t xml:space="preserve"> 工业企业厂界环境噪声排放标准</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0"/>
              <w:gridCol w:w="2620"/>
              <w:gridCol w:w="2621"/>
            </w:tblGrid>
            <w:tr w14:paraId="23097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0" w:type="dxa"/>
                  <w:noWrap w:val="0"/>
                  <w:vAlign w:val="center"/>
                </w:tcPr>
                <w:p w14:paraId="3ADF17DE">
                  <w:pPr>
                    <w:pStyle w:val="68"/>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vertAlign w:val="baseline"/>
                    </w:rPr>
                  </w:pPr>
                  <w:r>
                    <w:rPr>
                      <w:rFonts w:hint="default" w:ascii="Times New Roman" w:hAnsi="Times New Roman" w:eastAsia="宋体" w:cs="Times New Roman"/>
                      <w:b/>
                      <w:color w:val="auto"/>
                      <w:highlight w:val="none"/>
                    </w:rPr>
                    <w:t>声功能区类别</w:t>
                  </w:r>
                </w:p>
              </w:tc>
              <w:tc>
                <w:tcPr>
                  <w:tcW w:w="2620" w:type="dxa"/>
                  <w:noWrap w:val="0"/>
                  <w:vAlign w:val="center"/>
                </w:tcPr>
                <w:p w14:paraId="5EF3B545">
                  <w:pPr>
                    <w:pStyle w:val="68"/>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vertAlign w:val="baseline"/>
                    </w:rPr>
                  </w:pPr>
                  <w:r>
                    <w:rPr>
                      <w:rFonts w:hint="default" w:ascii="Times New Roman" w:hAnsi="Times New Roman" w:eastAsia="宋体" w:cs="Times New Roman"/>
                      <w:b/>
                      <w:color w:val="auto"/>
                      <w:highlight w:val="none"/>
                    </w:rPr>
                    <w:t>昼间dB(A)</w:t>
                  </w:r>
                </w:p>
              </w:tc>
              <w:tc>
                <w:tcPr>
                  <w:tcW w:w="2621" w:type="dxa"/>
                  <w:noWrap w:val="0"/>
                  <w:vAlign w:val="center"/>
                </w:tcPr>
                <w:p w14:paraId="35FF786D">
                  <w:pPr>
                    <w:pStyle w:val="68"/>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vertAlign w:val="baseline"/>
                    </w:rPr>
                  </w:pPr>
                  <w:r>
                    <w:rPr>
                      <w:rFonts w:hint="default" w:ascii="Times New Roman" w:hAnsi="Times New Roman" w:eastAsia="宋体" w:cs="Times New Roman"/>
                      <w:b/>
                      <w:color w:val="auto"/>
                      <w:highlight w:val="none"/>
                    </w:rPr>
                    <w:t>夜间dB(A)</w:t>
                  </w:r>
                </w:p>
              </w:tc>
            </w:tr>
            <w:tr w14:paraId="106F2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0" w:type="dxa"/>
                  <w:noWrap w:val="0"/>
                  <w:vAlign w:val="center"/>
                </w:tcPr>
                <w:p w14:paraId="4684236E">
                  <w:pPr>
                    <w:pStyle w:val="68"/>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vertAlign w:val="baseline"/>
                    </w:rPr>
                  </w:pP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类</w:t>
                  </w:r>
                </w:p>
              </w:tc>
              <w:tc>
                <w:tcPr>
                  <w:tcW w:w="2620" w:type="dxa"/>
                  <w:noWrap w:val="0"/>
                  <w:vAlign w:val="center"/>
                </w:tcPr>
                <w:p w14:paraId="3A86A0BC">
                  <w:pPr>
                    <w:pStyle w:val="68"/>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vertAlign w:val="baseline"/>
                    </w:rPr>
                  </w:pPr>
                  <w:r>
                    <w:rPr>
                      <w:rFonts w:hint="default" w:ascii="Times New Roman" w:hAnsi="Times New Roman" w:eastAsia="宋体" w:cs="Times New Roman"/>
                      <w:color w:val="auto"/>
                      <w:highlight w:val="none"/>
                      <w:lang w:val="en-US" w:eastAsia="zh-CN"/>
                    </w:rPr>
                    <w:t>65</w:t>
                  </w:r>
                </w:p>
              </w:tc>
              <w:tc>
                <w:tcPr>
                  <w:tcW w:w="2621" w:type="dxa"/>
                  <w:noWrap w:val="0"/>
                  <w:vAlign w:val="center"/>
                </w:tcPr>
                <w:p w14:paraId="668C01B1">
                  <w:pPr>
                    <w:pStyle w:val="68"/>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vertAlign w:val="baseline"/>
                    </w:rPr>
                  </w:pPr>
                  <w:r>
                    <w:rPr>
                      <w:rFonts w:hint="default" w:ascii="Times New Roman" w:hAnsi="Times New Roman" w:eastAsia="宋体" w:cs="Times New Roman"/>
                      <w:color w:val="auto"/>
                      <w:highlight w:val="none"/>
                      <w:lang w:val="en-US" w:eastAsia="zh-CN"/>
                    </w:rPr>
                    <w:t>55</w:t>
                  </w:r>
                </w:p>
              </w:tc>
            </w:tr>
          </w:tbl>
          <w:p w14:paraId="211D0110">
            <w:pPr>
              <w:keepNext w:val="0"/>
              <w:keepLines w:val="0"/>
              <w:pageBreakBefore w:val="0"/>
              <w:widowControl w:val="0"/>
              <w:suppressLineNumbers w:val="0"/>
              <w:tabs>
                <w:tab w:val="left" w:pos="627"/>
              </w:tabs>
              <w:kinsoku/>
              <w:wordWrap/>
              <w:overflowPunct/>
              <w:topLinePunct w:val="0"/>
              <w:autoSpaceDE/>
              <w:autoSpaceDN/>
              <w:bidi w:val="0"/>
              <w:adjustRightInd/>
              <w:snapToGrid w:val="0"/>
              <w:spacing w:before="313" w:beforeLines="100" w:beforeAutospacing="0" w:after="0" w:afterAutospacing="0" w:line="360" w:lineRule="auto"/>
              <w:ind w:left="0" w:right="0" w:firstLine="482" w:firstLineChars="200"/>
              <w:textAlignment w:val="auto"/>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rPr>
              <w:t>4、固体废弃物污染物控制标准</w:t>
            </w:r>
          </w:p>
          <w:p w14:paraId="294AB585">
            <w:pPr>
              <w:pStyle w:val="80"/>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highlight w:val="none"/>
              </w:rPr>
            </w:pPr>
            <w:r>
              <w:rPr>
                <w:rFonts w:hint="eastAsia" w:ascii="Times New Roman" w:cs="Times New Roman"/>
                <w:color w:val="auto"/>
                <w:sz w:val="24"/>
                <w:highlight w:val="none"/>
                <w:lang w:eastAsia="zh-CN"/>
              </w:rPr>
              <w:t>（</w:t>
            </w:r>
            <w:r>
              <w:rPr>
                <w:rFonts w:hint="eastAsia" w:ascii="Times New Roman" w:cs="Times New Roman"/>
                <w:color w:val="auto"/>
                <w:sz w:val="24"/>
                <w:highlight w:val="none"/>
                <w:lang w:val="en-US" w:eastAsia="zh-CN"/>
              </w:rPr>
              <w:t>1</w:t>
            </w:r>
            <w:r>
              <w:rPr>
                <w:rFonts w:hint="eastAsia" w:ascii="Times New Roman" w:cs="Times New Roman"/>
                <w:color w:val="auto"/>
                <w:sz w:val="24"/>
                <w:highlight w:val="none"/>
                <w:lang w:eastAsia="zh-CN"/>
              </w:rPr>
              <w:t>）</w:t>
            </w:r>
            <w:r>
              <w:rPr>
                <w:rFonts w:hint="default" w:ascii="Times New Roman" w:hAnsi="Times New Roman" w:eastAsia="宋体" w:cs="Times New Roman"/>
                <w:color w:val="auto"/>
                <w:sz w:val="24"/>
                <w:highlight w:val="none"/>
              </w:rPr>
              <w:t>一般工业固体废物在厂内采用库房或包装工具贮存，贮存过程应满足相应防渗漏、防雨淋、防扬尘等环境保护要求；一般固废编码执行《固体废物分类与代码目录》（生态环境部公告2024年第4号）。</w:t>
            </w:r>
          </w:p>
          <w:p w14:paraId="2FB2BF2A">
            <w:pPr>
              <w:pStyle w:val="80"/>
              <w:keepNext w:val="0"/>
              <w:keepLines w:val="0"/>
              <w:suppressLineNumbers w:val="0"/>
              <w:spacing w:before="0" w:beforeAutospacing="0" w:after="0" w:afterAutospacing="0" w:line="360" w:lineRule="auto"/>
              <w:ind w:left="0" w:right="0" w:firstLine="480" w:firstLineChars="200"/>
              <w:jc w:val="both"/>
              <w:rPr>
                <w:rFonts w:hint="default"/>
                <w:color w:val="auto"/>
                <w:highlight w:val="none"/>
              </w:rPr>
            </w:pPr>
            <w:r>
              <w:rPr>
                <w:rFonts w:hint="eastAsia" w:ascii="Times New Roman" w:cs="Times New Roman"/>
                <w:color w:val="auto"/>
                <w:sz w:val="24"/>
                <w:highlight w:val="none"/>
                <w:lang w:eastAsia="zh-CN"/>
              </w:rPr>
              <w:t>（</w:t>
            </w:r>
            <w:r>
              <w:rPr>
                <w:rFonts w:hint="eastAsia" w:ascii="Times New Roman" w:cs="Times New Roman"/>
                <w:color w:val="auto"/>
                <w:sz w:val="24"/>
                <w:highlight w:val="none"/>
                <w:lang w:val="en-US" w:eastAsia="zh-CN"/>
              </w:rPr>
              <w:t>2</w:t>
            </w:r>
            <w:r>
              <w:rPr>
                <w:rFonts w:hint="eastAsia" w:ascii="Times New Roman" w:cs="Times New Roman"/>
                <w:color w:val="auto"/>
                <w:sz w:val="24"/>
                <w:highlight w:val="none"/>
                <w:lang w:eastAsia="zh-CN"/>
              </w:rPr>
              <w:t>）</w:t>
            </w:r>
            <w:r>
              <w:rPr>
                <w:rFonts w:hint="default" w:ascii="Times New Roman" w:hAnsi="Times New Roman" w:eastAsia="宋体" w:cs="Times New Roman"/>
                <w:color w:val="auto"/>
                <w:sz w:val="24"/>
                <w:highlight w:val="none"/>
              </w:rPr>
              <w:t>危险废物贮存执行国标《危险废物贮存污染控制标准》（GB18597-2023）。</w:t>
            </w:r>
          </w:p>
        </w:tc>
      </w:tr>
      <w:tr w14:paraId="1A3A46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525" w:type="dxa"/>
            <w:noWrap w:val="0"/>
            <w:vAlign w:val="center"/>
          </w:tcPr>
          <w:p w14:paraId="2D1AE99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总量</w:t>
            </w:r>
          </w:p>
          <w:p w14:paraId="6CBF411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控制</w:t>
            </w:r>
          </w:p>
          <w:p w14:paraId="34C8B75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指标</w:t>
            </w:r>
          </w:p>
        </w:tc>
        <w:tc>
          <w:tcPr>
            <w:tcW w:w="8465" w:type="dxa"/>
            <w:noWrap w:val="0"/>
            <w:vAlign w:val="center"/>
          </w:tcPr>
          <w:p w14:paraId="1F301352">
            <w:pPr>
              <w:keepNext w:val="0"/>
              <w:keepLines w:val="0"/>
              <w:numPr>
                <w:ilvl w:val="0"/>
                <w:numId w:val="0"/>
              </w:numPr>
              <w:suppressLineNumbers w:val="0"/>
              <w:spacing w:before="0" w:beforeAutospacing="0" w:after="0" w:afterAutospacing="0" w:line="360" w:lineRule="auto"/>
              <w:ind w:left="0" w:right="0"/>
              <w:rPr>
                <w:rFonts w:hint="default" w:ascii="Times New Roman" w:hAnsi="Times New Roman" w:eastAsia="宋体" w:cs="Times New Roman"/>
                <w:color w:val="auto"/>
                <w:sz w:val="24"/>
                <w:highlight w:val="none"/>
              </w:rPr>
            </w:pPr>
          </w:p>
          <w:p w14:paraId="3F9DE27B">
            <w:pPr>
              <w:keepNext w:val="0"/>
              <w:keepLines w:val="0"/>
              <w:numPr>
                <w:ilvl w:val="0"/>
                <w:numId w:val="8"/>
              </w:numPr>
              <w:suppressLineNumbers w:val="0"/>
              <w:spacing w:before="0" w:beforeAutospacing="0" w:after="0" w:afterAutospacing="0" w:line="360" w:lineRule="auto"/>
              <w:ind w:left="0" w:right="0" w:firstLine="482"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color w:val="auto"/>
                <w:sz w:val="24"/>
                <w:highlight w:val="none"/>
              </w:rPr>
              <w:t>水污染物排放总量控制指标：</w:t>
            </w:r>
          </w:p>
          <w:p w14:paraId="2F1FE854">
            <w:pPr>
              <w:keepNext w:val="0"/>
              <w:keepLines w:val="0"/>
              <w:numPr>
                <w:ilvl w:val="0"/>
                <w:numId w:val="0"/>
              </w:numPr>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本项目运营期外排废水为员工生活污水</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进入广东阳东经济开发区污水处理厂处理。总排放污水量为</w:t>
            </w:r>
            <w:r>
              <w:rPr>
                <w:rFonts w:hint="eastAsia" w:ascii="Times New Roman" w:hAnsi="Times New Roman" w:eastAsia="宋体" w:cs="Times New Roman"/>
                <w:color w:val="auto"/>
                <w:sz w:val="24"/>
                <w:highlight w:val="none"/>
                <w:lang w:val="en-US" w:eastAsia="zh-CN"/>
              </w:rPr>
              <w:t>504</w:t>
            </w:r>
            <w:r>
              <w:rPr>
                <w:rFonts w:hint="default" w:ascii="Times New Roman" w:hAnsi="Times New Roman" w:eastAsia="宋体" w:cs="Times New Roman"/>
                <w:color w:val="auto"/>
                <w:sz w:val="24"/>
                <w:highlight w:val="none"/>
              </w:rPr>
              <w:t>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/a，CODcr排放量为</w:t>
            </w:r>
            <w:r>
              <w:rPr>
                <w:rFonts w:hint="eastAsia" w:ascii="Times New Roman" w:hAnsi="Times New Roman" w:eastAsia="宋体" w:cs="Times New Roman"/>
                <w:color w:val="auto"/>
                <w:sz w:val="24"/>
                <w:highlight w:val="none"/>
                <w:lang w:val="en-US" w:eastAsia="zh-CN"/>
              </w:rPr>
              <w:t>0.12</w:t>
            </w:r>
            <w:r>
              <w:rPr>
                <w:rFonts w:hint="default" w:ascii="Times New Roman" w:hAnsi="Times New Roman" w:eastAsia="宋体" w:cs="Times New Roman"/>
                <w:color w:val="auto"/>
                <w:sz w:val="24"/>
                <w:highlight w:val="none"/>
              </w:rPr>
              <w:t>t/a、NH</w:t>
            </w:r>
            <w:r>
              <w:rPr>
                <w:rFonts w:hint="default" w:ascii="Times New Roman" w:hAnsi="Times New Roman" w:eastAsia="宋体" w:cs="Times New Roman"/>
                <w:color w:val="auto"/>
                <w:sz w:val="24"/>
                <w:highlight w:val="none"/>
                <w:vertAlign w:val="subscript"/>
              </w:rPr>
              <w:t>3</w:t>
            </w:r>
            <w:r>
              <w:rPr>
                <w:rFonts w:hint="default" w:ascii="Times New Roman" w:hAnsi="Times New Roman" w:eastAsia="宋体" w:cs="Times New Roman"/>
                <w:color w:val="auto"/>
                <w:sz w:val="24"/>
                <w:highlight w:val="none"/>
              </w:rPr>
              <w:t>-N排放量为</w:t>
            </w:r>
            <w:r>
              <w:rPr>
                <w:rFonts w:hint="default" w:ascii="Times New Roman" w:hAnsi="Times New Roman" w:eastAsia="宋体" w:cs="Times New Roman"/>
                <w:color w:val="auto"/>
                <w:sz w:val="24"/>
                <w:highlight w:val="none"/>
                <w:lang w:val="en-US" w:eastAsia="zh-CN"/>
              </w:rPr>
              <w:t>0.0</w:t>
            </w:r>
            <w:r>
              <w:rPr>
                <w:rFonts w:hint="eastAsia" w:ascii="Times New Roman" w:hAnsi="Times New Roman" w:eastAsia="宋体" w:cs="Times New Roman"/>
                <w:color w:val="auto"/>
                <w:sz w:val="24"/>
                <w:highlight w:val="none"/>
                <w:lang w:val="en-US" w:eastAsia="zh-CN"/>
              </w:rPr>
              <w:t>1</w:t>
            </w:r>
            <w:r>
              <w:rPr>
                <w:rFonts w:hint="default" w:ascii="Times New Roman" w:hAnsi="Times New Roman" w:eastAsia="宋体" w:cs="Times New Roman"/>
                <w:color w:val="auto"/>
                <w:sz w:val="24"/>
                <w:highlight w:val="none"/>
              </w:rPr>
              <w:t>t/a</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总磷排放量为</w:t>
            </w:r>
            <w:r>
              <w:rPr>
                <w:rFonts w:hint="default" w:ascii="Times New Roman" w:hAnsi="Times New Roman" w:eastAsia="宋体" w:cs="Times New Roman"/>
                <w:color w:val="auto"/>
                <w:sz w:val="24"/>
                <w:highlight w:val="none"/>
                <w:lang w:val="en-US" w:eastAsia="zh-CN"/>
              </w:rPr>
              <w:t>0.0</w:t>
            </w:r>
            <w:r>
              <w:rPr>
                <w:rFonts w:hint="eastAsia" w:ascii="Times New Roman" w:hAnsi="Times New Roman" w:eastAsia="宋体" w:cs="Times New Roman"/>
                <w:color w:val="auto"/>
                <w:sz w:val="24"/>
                <w:highlight w:val="none"/>
                <w:lang w:val="en-US" w:eastAsia="zh-CN"/>
              </w:rPr>
              <w:t>019</w:t>
            </w:r>
            <w:r>
              <w:rPr>
                <w:rFonts w:hint="default" w:ascii="Times New Roman" w:hAnsi="Times New Roman" w:eastAsia="宋体" w:cs="Times New Roman"/>
                <w:color w:val="auto"/>
                <w:sz w:val="24"/>
                <w:highlight w:val="none"/>
              </w:rPr>
              <w:t>t/a。</w:t>
            </w:r>
            <w:r>
              <w:rPr>
                <w:rFonts w:hint="default" w:ascii="Times New Roman" w:hAnsi="Times New Roman" w:eastAsia="宋体" w:cs="Times New Roman"/>
                <w:color w:val="auto"/>
                <w:sz w:val="24"/>
                <w:highlight w:val="none"/>
              </w:rPr>
              <w:t>项目总量可从污水处理厂总量控制指标中协调分配。因此，本报告所产生的废水不再设总量控制指标建议值。</w:t>
            </w:r>
          </w:p>
          <w:p w14:paraId="07F6140D">
            <w:pPr>
              <w:keepNext w:val="0"/>
              <w:keepLines w:val="0"/>
              <w:numPr>
                <w:ilvl w:val="0"/>
                <w:numId w:val="8"/>
              </w:numPr>
              <w:suppressLineNumbers w:val="0"/>
              <w:spacing w:before="0" w:beforeAutospacing="0" w:after="0" w:afterAutospacing="0" w:line="360" w:lineRule="auto"/>
              <w:ind w:left="0" w:leftChars="0" w:right="0" w:firstLine="482" w:firstLineChars="200"/>
              <w:rPr>
                <w:rFonts w:hint="default" w:ascii="Times New Roman" w:hAnsi="Times New Roman" w:eastAsia="宋体" w:cs="Times New Roman"/>
                <w:bCs/>
                <w:color w:val="auto"/>
                <w:sz w:val="24"/>
                <w:highlight w:val="none"/>
              </w:rPr>
            </w:pPr>
            <w:r>
              <w:rPr>
                <w:rFonts w:hint="default" w:ascii="Times New Roman" w:hAnsi="Times New Roman" w:eastAsia="宋体" w:cs="Times New Roman"/>
                <w:b/>
                <w:bCs w:val="0"/>
                <w:color w:val="auto"/>
                <w:sz w:val="24"/>
                <w:highlight w:val="none"/>
              </w:rPr>
              <w:t>大气污染物排放总量控制指标：</w:t>
            </w:r>
            <w:r>
              <w:rPr>
                <w:rFonts w:hint="default" w:ascii="Times New Roman" w:hAnsi="Times New Roman" w:eastAsia="宋体" w:cs="Times New Roman"/>
                <w:bCs/>
                <w:color w:val="auto"/>
                <w:sz w:val="24"/>
                <w:highlight w:val="none"/>
              </w:rPr>
              <w:t xml:space="preserve"> </w:t>
            </w:r>
          </w:p>
          <w:p w14:paraId="7994411D">
            <w:pPr>
              <w:keepNext w:val="0"/>
              <w:keepLines w:val="0"/>
              <w:suppressLineNumbers w:val="0"/>
              <w:adjustRightInd w:val="0"/>
              <w:snapToGrid w:val="0"/>
              <w:spacing w:before="0" w:beforeAutospacing="0" w:after="0" w:afterAutospacing="0" w:line="360" w:lineRule="auto"/>
              <w:ind w:left="0" w:right="0" w:firstLine="480" w:firstLineChars="200"/>
              <w:jc w:val="both"/>
              <w:rPr>
                <w:rFonts w:hint="eastAsia" w:ascii="Times New Roman" w:hAnsi="Times New Roman" w:eastAsia="宋体" w:cs="Times New Roman"/>
                <w:b w:val="0"/>
                <w:bCs w:val="0"/>
                <w:color w:val="auto"/>
                <w:sz w:val="24"/>
                <w:highlight w:val="none"/>
                <w:lang w:eastAsia="zh-CN"/>
              </w:rPr>
            </w:pPr>
            <w:r>
              <w:rPr>
                <w:rFonts w:hint="default" w:ascii="Times New Roman" w:hAnsi="Times New Roman" w:eastAsia="宋体" w:cs="Times New Roman"/>
                <w:b w:val="0"/>
                <w:bCs w:val="0"/>
                <w:color w:val="auto"/>
                <w:sz w:val="24"/>
                <w:highlight w:val="none"/>
              </w:rPr>
              <w:t>本项目VOCs总排放量为：</w:t>
            </w:r>
            <w:r>
              <w:rPr>
                <w:rFonts w:hint="eastAsia" w:cs="Times New Roman"/>
                <w:b w:val="0"/>
                <w:bCs w:val="0"/>
                <w:color w:val="auto"/>
                <w:sz w:val="24"/>
                <w:highlight w:val="none"/>
                <w:lang w:val="en-US" w:eastAsia="zh-CN"/>
              </w:rPr>
              <w:t>0.1668</w:t>
            </w:r>
            <w:r>
              <w:rPr>
                <w:rFonts w:hint="default" w:ascii="Times New Roman" w:hAnsi="Times New Roman" w:eastAsia="宋体" w:cs="Times New Roman"/>
                <w:b w:val="0"/>
                <w:bCs w:val="0"/>
                <w:color w:val="auto"/>
                <w:sz w:val="24"/>
                <w:highlight w:val="none"/>
              </w:rPr>
              <w:t>t/a</w:t>
            </w:r>
            <w:r>
              <w:rPr>
                <w:rFonts w:hint="default" w:ascii="Times New Roman" w:hAnsi="Times New Roman" w:eastAsia="宋体" w:cs="Times New Roman"/>
                <w:b w:val="0"/>
                <w:bCs w:val="0"/>
                <w:color w:val="auto"/>
                <w:sz w:val="24"/>
                <w:highlight w:val="none"/>
                <w:lang w:eastAsia="zh-CN"/>
              </w:rPr>
              <w:t>（</w:t>
            </w:r>
            <w:r>
              <w:rPr>
                <w:rFonts w:hint="default" w:ascii="Times New Roman" w:hAnsi="Times New Roman" w:eastAsia="宋体" w:cs="Times New Roman"/>
                <w:b w:val="0"/>
                <w:bCs w:val="0"/>
                <w:color w:val="auto"/>
                <w:sz w:val="24"/>
                <w:highlight w:val="none"/>
                <w:lang w:val="en-US" w:eastAsia="zh-CN"/>
              </w:rPr>
              <w:t>其中有组织排放</w:t>
            </w:r>
            <w:r>
              <w:rPr>
                <w:rFonts w:hint="eastAsia" w:cs="Times New Roman"/>
                <w:b w:val="0"/>
                <w:bCs w:val="0"/>
                <w:color w:val="auto"/>
                <w:sz w:val="24"/>
                <w:highlight w:val="none"/>
                <w:lang w:val="en-US" w:eastAsia="zh-CN"/>
              </w:rPr>
              <w:t>0.0175</w:t>
            </w:r>
            <w:r>
              <w:rPr>
                <w:rFonts w:hint="default" w:ascii="Times New Roman" w:hAnsi="Times New Roman" w:eastAsia="宋体" w:cs="Times New Roman"/>
                <w:b w:val="0"/>
                <w:bCs w:val="0"/>
                <w:color w:val="auto"/>
                <w:sz w:val="24"/>
                <w:highlight w:val="none"/>
                <w:lang w:val="en-US" w:eastAsia="zh-CN"/>
              </w:rPr>
              <w:t>t/a，无组织排放</w:t>
            </w:r>
            <w:r>
              <w:rPr>
                <w:rFonts w:hint="eastAsia" w:cs="Times New Roman"/>
                <w:b w:val="0"/>
                <w:bCs w:val="0"/>
                <w:color w:val="auto"/>
                <w:sz w:val="24"/>
                <w:highlight w:val="none"/>
                <w:lang w:val="en-US" w:eastAsia="zh-CN"/>
              </w:rPr>
              <w:t>0.1493 </w:t>
            </w:r>
            <w:r>
              <w:rPr>
                <w:rFonts w:hint="default" w:ascii="Times New Roman" w:hAnsi="Times New Roman" w:eastAsia="宋体" w:cs="Times New Roman"/>
                <w:b w:val="0"/>
                <w:bCs w:val="0"/>
                <w:color w:val="auto"/>
                <w:sz w:val="24"/>
                <w:highlight w:val="none"/>
                <w:lang w:val="en-US" w:eastAsia="zh-CN"/>
              </w:rPr>
              <w:t>t/a</w:t>
            </w:r>
            <w:r>
              <w:rPr>
                <w:rFonts w:hint="default" w:ascii="Times New Roman" w:hAnsi="Times New Roman" w:eastAsia="宋体" w:cs="Times New Roman"/>
                <w:b w:val="0"/>
                <w:bCs w:val="0"/>
                <w:color w:val="auto"/>
                <w:sz w:val="24"/>
                <w:highlight w:val="none"/>
                <w:lang w:eastAsia="zh-CN"/>
              </w:rPr>
              <w:t>）</w:t>
            </w:r>
            <w:r>
              <w:rPr>
                <w:rFonts w:hint="eastAsia" w:ascii="Times New Roman" w:hAnsi="Times New Roman" w:eastAsia="宋体" w:cs="Times New Roman"/>
                <w:b w:val="0"/>
                <w:bCs w:val="0"/>
                <w:color w:val="auto"/>
                <w:sz w:val="24"/>
                <w:highlight w:val="none"/>
                <w:lang w:eastAsia="zh-CN"/>
              </w:rPr>
              <w:t>。</w:t>
            </w:r>
          </w:p>
          <w:p w14:paraId="6634F7B5">
            <w:pPr>
              <w:keepNext w:val="0"/>
              <w:keepLines w:val="0"/>
              <w:suppressLineNumbers w:val="0"/>
              <w:adjustRightInd w:val="0"/>
              <w:snapToGrid w:val="0"/>
              <w:spacing w:before="0" w:beforeAutospacing="0" w:after="0" w:afterAutospacing="0" w:line="360" w:lineRule="auto"/>
              <w:ind w:left="0" w:right="0" w:firstLine="480" w:firstLineChars="200"/>
              <w:jc w:val="both"/>
              <w:rPr>
                <w:rFonts w:hint="eastAsia" w:ascii="Times New Roman" w:hAnsi="Times New Roman" w:eastAsia="宋体" w:cs="Times New Roman"/>
                <w:b w:val="0"/>
                <w:bCs w:val="0"/>
                <w:color w:val="auto"/>
                <w:sz w:val="24"/>
                <w:highlight w:val="none"/>
                <w:lang w:eastAsia="zh-CN"/>
              </w:rPr>
            </w:pPr>
          </w:p>
          <w:p w14:paraId="6ACDB912">
            <w:pPr>
              <w:keepNext w:val="0"/>
              <w:keepLines w:val="0"/>
              <w:suppressLineNumbers w:val="0"/>
              <w:adjustRightInd w:val="0"/>
              <w:snapToGrid w:val="0"/>
              <w:spacing w:before="0" w:beforeAutospacing="0" w:after="0" w:afterAutospacing="0" w:line="360" w:lineRule="auto"/>
              <w:ind w:left="0" w:right="0" w:firstLine="480" w:firstLineChars="200"/>
              <w:jc w:val="both"/>
              <w:rPr>
                <w:rFonts w:hint="eastAsia" w:ascii="Times New Roman" w:hAnsi="Times New Roman" w:eastAsia="宋体" w:cs="Times New Roman"/>
                <w:b w:val="0"/>
                <w:bCs w:val="0"/>
                <w:color w:val="auto"/>
                <w:sz w:val="24"/>
                <w:highlight w:val="none"/>
                <w:lang w:eastAsia="zh-CN"/>
              </w:rPr>
            </w:pPr>
          </w:p>
          <w:p w14:paraId="5ABE9CED">
            <w:pPr>
              <w:keepNext w:val="0"/>
              <w:keepLines w:val="0"/>
              <w:suppressLineNumbers w:val="0"/>
              <w:adjustRightInd w:val="0"/>
              <w:snapToGrid w:val="0"/>
              <w:spacing w:before="0" w:beforeAutospacing="0" w:after="0" w:afterAutospacing="0" w:line="360" w:lineRule="auto"/>
              <w:ind w:left="0" w:right="0" w:firstLine="480" w:firstLineChars="200"/>
              <w:jc w:val="both"/>
              <w:rPr>
                <w:rFonts w:hint="eastAsia" w:ascii="Times New Roman" w:hAnsi="Times New Roman" w:eastAsia="宋体" w:cs="Times New Roman"/>
                <w:b w:val="0"/>
                <w:bCs w:val="0"/>
                <w:color w:val="auto"/>
                <w:sz w:val="24"/>
                <w:highlight w:val="none"/>
                <w:lang w:eastAsia="zh-CN"/>
              </w:rPr>
            </w:pPr>
          </w:p>
          <w:p w14:paraId="66C0B70B">
            <w:pPr>
              <w:keepNext w:val="0"/>
              <w:keepLines w:val="0"/>
              <w:suppressLineNumbers w:val="0"/>
              <w:adjustRightInd w:val="0"/>
              <w:snapToGrid w:val="0"/>
              <w:spacing w:before="0" w:beforeAutospacing="0" w:after="0" w:afterAutospacing="0" w:line="360" w:lineRule="auto"/>
              <w:ind w:left="0" w:right="0" w:firstLine="480" w:firstLineChars="200"/>
              <w:jc w:val="both"/>
              <w:rPr>
                <w:rFonts w:hint="eastAsia" w:ascii="Times New Roman" w:hAnsi="Times New Roman" w:eastAsia="宋体" w:cs="Times New Roman"/>
                <w:b w:val="0"/>
                <w:bCs w:val="0"/>
                <w:color w:val="auto"/>
                <w:sz w:val="24"/>
                <w:highlight w:val="none"/>
                <w:lang w:eastAsia="zh-CN"/>
              </w:rPr>
            </w:pPr>
          </w:p>
          <w:p w14:paraId="72759200">
            <w:pPr>
              <w:keepNext w:val="0"/>
              <w:keepLines w:val="0"/>
              <w:suppressLineNumbers w:val="0"/>
              <w:adjustRightInd w:val="0"/>
              <w:snapToGrid w:val="0"/>
              <w:spacing w:before="0" w:beforeAutospacing="0" w:after="0" w:afterAutospacing="0" w:line="360" w:lineRule="auto"/>
              <w:ind w:left="0" w:right="0" w:firstLine="480" w:firstLineChars="200"/>
              <w:jc w:val="both"/>
              <w:rPr>
                <w:rFonts w:hint="eastAsia" w:ascii="Times New Roman" w:hAnsi="Times New Roman" w:eastAsia="宋体" w:cs="Times New Roman"/>
                <w:b w:val="0"/>
                <w:bCs w:val="0"/>
                <w:color w:val="auto"/>
                <w:sz w:val="24"/>
                <w:highlight w:val="none"/>
                <w:lang w:eastAsia="zh-CN"/>
              </w:rPr>
            </w:pPr>
          </w:p>
          <w:p w14:paraId="75101BD4">
            <w:pPr>
              <w:keepNext w:val="0"/>
              <w:keepLines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 w:val="24"/>
                <w:highlight w:val="none"/>
                <w:lang w:val="en-US" w:eastAsia="zh-CN"/>
              </w:rPr>
            </w:pPr>
          </w:p>
        </w:tc>
      </w:tr>
    </w:tbl>
    <w:p w14:paraId="511D53FF">
      <w:pPr>
        <w:pStyle w:val="28"/>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b/>
          <w:bCs/>
          <w:snapToGrid w:val="0"/>
          <w:color w:val="auto"/>
          <w:sz w:val="30"/>
          <w:szCs w:val="30"/>
          <w:highlight w:val="none"/>
        </w:rPr>
      </w:pPr>
      <w:r>
        <w:rPr>
          <w:rFonts w:hint="default" w:ascii="Times New Roman" w:hAnsi="Times New Roman" w:eastAsia="宋体" w:cs="Times New Roman"/>
          <w:snapToGrid w:val="0"/>
          <w:color w:val="auto"/>
          <w:sz w:val="36"/>
          <w:szCs w:val="36"/>
          <w:highlight w:val="none"/>
        </w:rPr>
        <w:br w:type="page"/>
      </w:r>
      <w:r>
        <w:rPr>
          <w:rFonts w:hint="default" w:ascii="Times New Roman" w:hAnsi="Times New Roman" w:eastAsia="宋体" w:cs="Times New Roman"/>
          <w:b/>
          <w:bCs/>
          <w:snapToGrid w:val="0"/>
          <w:color w:val="auto"/>
          <w:sz w:val="30"/>
          <w:szCs w:val="30"/>
          <w:highlight w:val="none"/>
        </w:rPr>
        <w:t>四、主要环境影响和保护措施</w:t>
      </w:r>
    </w:p>
    <w:tbl>
      <w:tblPr>
        <w:tblStyle w:val="3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77"/>
        <w:gridCol w:w="8031"/>
      </w:tblGrid>
      <w:tr w14:paraId="119A06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64" w:hRule="atLeast"/>
          <w:jc w:val="center"/>
        </w:trPr>
        <w:tc>
          <w:tcPr>
            <w:tcW w:w="877" w:type="dxa"/>
            <w:noWrap w:val="0"/>
            <w:tcMar>
              <w:left w:w="28" w:type="dxa"/>
              <w:right w:w="28" w:type="dxa"/>
            </w:tcMar>
            <w:vAlign w:val="center"/>
          </w:tcPr>
          <w:p w14:paraId="064A668C">
            <w:pPr>
              <w:pStyle w:val="28"/>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施工</w:t>
            </w:r>
          </w:p>
          <w:p w14:paraId="45810B21">
            <w:pPr>
              <w:pStyle w:val="28"/>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期环</w:t>
            </w:r>
          </w:p>
          <w:p w14:paraId="0FEA1F04">
            <w:pPr>
              <w:pStyle w:val="28"/>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境保</w:t>
            </w:r>
          </w:p>
          <w:p w14:paraId="133D521B">
            <w:pPr>
              <w:pStyle w:val="28"/>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护措</w:t>
            </w:r>
          </w:p>
          <w:p w14:paraId="536C3CB1">
            <w:pPr>
              <w:pStyle w:val="28"/>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施</w:t>
            </w:r>
          </w:p>
        </w:tc>
        <w:tc>
          <w:tcPr>
            <w:tcW w:w="8031" w:type="dxa"/>
            <w:noWrap w:val="0"/>
            <w:vAlign w:val="center"/>
          </w:tcPr>
          <w:p w14:paraId="7253EBEC">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spacing w:val="-10"/>
                <w:szCs w:val="21"/>
                <w:highlight w:val="none"/>
                <w:lang w:val="en-US" w:eastAsia="zh-CN"/>
              </w:rPr>
            </w:pPr>
            <w:r>
              <w:rPr>
                <w:rFonts w:hint="default" w:ascii="Times New Roman" w:hAnsi="Times New Roman" w:eastAsia="宋体" w:cs="Times New Roman"/>
                <w:color w:val="auto"/>
                <w:sz w:val="24"/>
                <w:szCs w:val="32"/>
                <w:highlight w:val="none"/>
                <w:lang w:val="en-US" w:eastAsia="zh-CN"/>
              </w:rPr>
              <w:t>本</w:t>
            </w:r>
            <w:r>
              <w:rPr>
                <w:rFonts w:hint="default" w:ascii="Times New Roman" w:hAnsi="Times New Roman" w:eastAsia="宋体" w:cs="Times New Roman"/>
                <w:color w:val="auto"/>
                <w:sz w:val="24"/>
                <w:szCs w:val="32"/>
                <w:highlight w:val="none"/>
              </w:rPr>
              <w:t>项目</w:t>
            </w:r>
            <w:r>
              <w:rPr>
                <w:rFonts w:hint="default" w:ascii="Times New Roman" w:hAnsi="Times New Roman" w:eastAsia="宋体" w:cs="Times New Roman"/>
                <w:color w:val="auto"/>
                <w:sz w:val="24"/>
                <w:szCs w:val="32"/>
                <w:highlight w:val="none"/>
                <w:lang w:val="en-US" w:eastAsia="zh-CN"/>
              </w:rPr>
              <w:t>租赁</w:t>
            </w:r>
            <w:r>
              <w:rPr>
                <w:rFonts w:hint="eastAsia" w:cs="Times New Roman"/>
                <w:color w:val="auto"/>
                <w:sz w:val="24"/>
                <w:szCs w:val="32"/>
                <w:highlight w:val="none"/>
                <w:lang w:val="en-US" w:eastAsia="zh-CN"/>
              </w:rPr>
              <w:t>已建</w:t>
            </w:r>
            <w:r>
              <w:rPr>
                <w:rFonts w:hint="default" w:ascii="Times New Roman" w:hAnsi="Times New Roman" w:eastAsia="宋体" w:cs="Times New Roman"/>
                <w:color w:val="auto"/>
                <w:sz w:val="24"/>
                <w:szCs w:val="32"/>
                <w:highlight w:val="none"/>
                <w:lang w:val="en-US" w:eastAsia="zh-CN"/>
              </w:rPr>
              <w:t>工业厂房进行生产布置</w:t>
            </w:r>
            <w:r>
              <w:rPr>
                <w:rFonts w:hint="default" w:ascii="Times New Roman" w:hAnsi="Times New Roman" w:eastAsia="宋体" w:cs="Times New Roman"/>
                <w:color w:val="auto"/>
                <w:sz w:val="24"/>
                <w:szCs w:val="32"/>
                <w:highlight w:val="none"/>
              </w:rPr>
              <w:t>，</w:t>
            </w:r>
            <w:r>
              <w:rPr>
                <w:rFonts w:hint="default" w:ascii="Times New Roman" w:hAnsi="Times New Roman" w:eastAsia="宋体" w:cs="Times New Roman"/>
                <w:color w:val="auto"/>
                <w:sz w:val="24"/>
                <w:szCs w:val="32"/>
                <w:highlight w:val="none"/>
                <w:lang w:val="en-US" w:eastAsia="zh-CN"/>
              </w:rPr>
              <w:t>不涉及厂房建设</w:t>
            </w:r>
            <w:r>
              <w:rPr>
                <w:rFonts w:hint="default" w:ascii="Times New Roman" w:hAnsi="Times New Roman" w:eastAsia="宋体" w:cs="Times New Roman"/>
                <w:color w:val="auto"/>
                <w:sz w:val="24"/>
                <w:szCs w:val="32"/>
                <w:highlight w:val="none"/>
                <w:lang w:eastAsia="zh-CN"/>
              </w:rPr>
              <w:t>，</w:t>
            </w:r>
            <w:r>
              <w:rPr>
                <w:rFonts w:hint="default" w:ascii="Times New Roman" w:hAnsi="Times New Roman" w:eastAsia="宋体" w:cs="Times New Roman"/>
                <w:color w:val="auto"/>
                <w:sz w:val="24"/>
                <w:szCs w:val="32"/>
                <w:highlight w:val="none"/>
              </w:rPr>
              <w:t>施工过程主要</w:t>
            </w:r>
            <w:r>
              <w:rPr>
                <w:rFonts w:hint="default" w:ascii="Times New Roman" w:hAnsi="Times New Roman" w:eastAsia="宋体" w:cs="Times New Roman"/>
                <w:color w:val="auto"/>
                <w:sz w:val="24"/>
                <w:szCs w:val="32"/>
                <w:highlight w:val="none"/>
                <w:lang w:val="en-US" w:eastAsia="zh-CN"/>
              </w:rPr>
              <w:t>为</w:t>
            </w:r>
            <w:r>
              <w:rPr>
                <w:rFonts w:hint="default" w:ascii="Times New Roman" w:hAnsi="Times New Roman" w:eastAsia="宋体" w:cs="Times New Roman"/>
                <w:color w:val="auto"/>
                <w:sz w:val="24"/>
                <w:szCs w:val="32"/>
                <w:highlight w:val="none"/>
              </w:rPr>
              <w:t>设备安装，没有基建工程，因此施工期基本不存在大型土建工程，施工期间产生的影响主要是由于设备运输、安装时产生的噪声等</w:t>
            </w:r>
            <w:r>
              <w:rPr>
                <w:rFonts w:hint="default" w:ascii="Times New Roman" w:hAnsi="Times New Roman" w:eastAsia="宋体" w:cs="Times New Roman"/>
                <w:color w:val="auto"/>
                <w:sz w:val="24"/>
                <w:szCs w:val="32"/>
                <w:highlight w:val="none"/>
                <w:lang w:eastAsia="zh-CN"/>
              </w:rPr>
              <w:t>，</w:t>
            </w:r>
            <w:r>
              <w:rPr>
                <w:rFonts w:hint="default" w:ascii="Times New Roman" w:hAnsi="Times New Roman" w:eastAsia="宋体" w:cs="Times New Roman"/>
                <w:color w:val="auto"/>
                <w:sz w:val="24"/>
                <w:szCs w:val="32"/>
                <w:highlight w:val="none"/>
                <w:lang w:val="en-US" w:eastAsia="zh-CN"/>
              </w:rPr>
              <w:t>建议建设单位白天进行设备安装</w:t>
            </w:r>
            <w:r>
              <w:rPr>
                <w:rFonts w:hint="default" w:ascii="Times New Roman" w:hAnsi="Times New Roman" w:eastAsia="宋体" w:cs="Times New Roman"/>
                <w:color w:val="auto"/>
                <w:sz w:val="24"/>
                <w:szCs w:val="32"/>
                <w:highlight w:val="none"/>
                <w:lang w:eastAsia="zh-CN"/>
              </w:rPr>
              <w:t>，杜绝深夜施工噪声扰民，</w:t>
            </w:r>
            <w:r>
              <w:rPr>
                <w:rFonts w:hint="default" w:ascii="Times New Roman" w:hAnsi="Times New Roman" w:eastAsia="宋体" w:cs="Times New Roman"/>
                <w:color w:val="auto"/>
                <w:sz w:val="24"/>
                <w:szCs w:val="32"/>
                <w:highlight w:val="none"/>
                <w:lang w:val="en-US" w:eastAsia="zh-CN"/>
              </w:rPr>
              <w:t>因此对周围环境影响较小。</w:t>
            </w:r>
          </w:p>
        </w:tc>
      </w:tr>
      <w:tr w14:paraId="3B7F54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0" w:hRule="atLeast"/>
          <w:jc w:val="center"/>
        </w:trPr>
        <w:tc>
          <w:tcPr>
            <w:tcW w:w="877" w:type="dxa"/>
            <w:noWrap w:val="0"/>
            <w:tcMar>
              <w:left w:w="28" w:type="dxa"/>
              <w:right w:w="28" w:type="dxa"/>
            </w:tcMar>
            <w:vAlign w:val="center"/>
          </w:tcPr>
          <w:p w14:paraId="09EAC6A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运营</w:t>
            </w:r>
          </w:p>
          <w:p w14:paraId="7C350DF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期环</w:t>
            </w:r>
          </w:p>
          <w:p w14:paraId="6FF91F9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境影</w:t>
            </w:r>
          </w:p>
          <w:p w14:paraId="3D0C137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响和</w:t>
            </w:r>
          </w:p>
          <w:p w14:paraId="3C02281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保护</w:t>
            </w:r>
          </w:p>
          <w:p w14:paraId="6CBF842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措施</w:t>
            </w:r>
          </w:p>
        </w:tc>
        <w:tc>
          <w:tcPr>
            <w:tcW w:w="8031" w:type="dxa"/>
            <w:noWrap w:val="0"/>
            <w:vAlign w:val="center"/>
          </w:tcPr>
          <w:p w14:paraId="50A38D6E">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szCs w:val="32"/>
                <w:highlight w:val="none"/>
              </w:rPr>
            </w:pPr>
            <w:r>
              <w:rPr>
                <w:rFonts w:hint="default" w:ascii="Times New Roman" w:hAnsi="Times New Roman" w:eastAsia="宋体" w:cs="Times New Roman"/>
                <w:b/>
                <w:bCs/>
                <w:color w:val="auto"/>
                <w:sz w:val="24"/>
                <w:szCs w:val="32"/>
                <w:highlight w:val="none"/>
              </w:rPr>
              <w:t>一、废气污染源</w:t>
            </w:r>
          </w:p>
          <w:p w14:paraId="13B48286">
            <w:pPr>
              <w:pStyle w:val="19"/>
              <w:keepNext w:val="0"/>
              <w:keepLines w:val="0"/>
              <w:suppressLineNumbers w:val="0"/>
              <w:spacing w:before="0" w:beforeAutospacing="0" w:after="0" w:afterAutospacing="0" w:line="360" w:lineRule="auto"/>
              <w:ind w:left="420" w:leftChars="200" w:right="0"/>
              <w:rPr>
                <w:rFonts w:hint="default" w:ascii="Times New Roman" w:hAnsi="Times New Roman" w:eastAsia="宋体" w:cs="Times New Roman"/>
                <w:color w:val="auto"/>
                <w:sz w:val="24"/>
                <w:szCs w:val="32"/>
                <w:highlight w:val="none"/>
              </w:rPr>
            </w:pPr>
            <w:r>
              <w:rPr>
                <w:rFonts w:hint="default" w:ascii="Times New Roman" w:hAnsi="Times New Roman" w:eastAsia="宋体" w:cs="Times New Roman"/>
                <w:b/>
                <w:bCs/>
                <w:color w:val="auto"/>
                <w:sz w:val="24"/>
                <w:szCs w:val="22"/>
                <w:highlight w:val="none"/>
              </w:rPr>
              <w:t>1、废气源强核算</w:t>
            </w:r>
          </w:p>
          <w:p w14:paraId="266B93E6">
            <w:pPr>
              <w:pStyle w:val="19"/>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highlight w:val="none"/>
              </w:rPr>
            </w:pPr>
            <w:r>
              <w:rPr>
                <w:rFonts w:hint="default" w:ascii="Times New Roman" w:hAnsi="Times New Roman" w:eastAsia="宋体" w:cs="Times New Roman"/>
                <w:color w:val="auto"/>
                <w:sz w:val="24"/>
                <w:szCs w:val="32"/>
                <w:highlight w:val="none"/>
              </w:rPr>
              <w:t>本项目运营期大气污染源主要是</w:t>
            </w:r>
            <w:r>
              <w:rPr>
                <w:rFonts w:hint="default" w:ascii="Times New Roman" w:hAnsi="Times New Roman" w:eastAsia="宋体" w:cs="Times New Roman"/>
                <w:color w:val="auto"/>
                <w:sz w:val="24"/>
                <w:szCs w:val="32"/>
                <w:highlight w:val="none"/>
                <w:lang w:val="en-US" w:eastAsia="zh-CN"/>
              </w:rPr>
              <w:t>印刷、过油、粘盒工序产生的有机废气</w:t>
            </w:r>
            <w:r>
              <w:rPr>
                <w:rFonts w:hint="default" w:ascii="Times New Roman" w:hAnsi="Times New Roman" w:eastAsia="宋体" w:cs="Times New Roman"/>
                <w:color w:val="auto"/>
                <w:sz w:val="24"/>
                <w:szCs w:val="32"/>
                <w:highlight w:val="none"/>
              </w:rPr>
              <w:t>。</w:t>
            </w:r>
          </w:p>
          <w:p w14:paraId="09A3107A">
            <w:pPr>
              <w:pStyle w:val="19"/>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szCs w:val="22"/>
                <w:highlight w:val="none"/>
                <w:lang w:val="en-US" w:eastAsia="zh-CN"/>
              </w:rPr>
            </w:pPr>
            <w:r>
              <w:rPr>
                <w:rFonts w:hint="default" w:ascii="Times New Roman" w:hAnsi="Times New Roman" w:eastAsia="宋体" w:cs="Times New Roman"/>
                <w:b/>
                <w:bCs/>
                <w:color w:val="auto"/>
                <w:sz w:val="24"/>
                <w:szCs w:val="22"/>
                <w:highlight w:val="none"/>
              </w:rPr>
              <w:t>（1）</w:t>
            </w:r>
            <w:r>
              <w:rPr>
                <w:rFonts w:hint="eastAsia" w:ascii="Times New Roman" w:hAnsi="Times New Roman" w:eastAsia="宋体" w:cs="Times New Roman"/>
                <w:b/>
                <w:bCs/>
                <w:color w:val="auto"/>
                <w:sz w:val="24"/>
                <w:szCs w:val="22"/>
                <w:highlight w:val="none"/>
                <w:lang w:val="en-US" w:eastAsia="zh-CN"/>
              </w:rPr>
              <w:t>印刷、过油、粘盒工序</w:t>
            </w:r>
            <w:r>
              <w:rPr>
                <w:rFonts w:hint="default" w:ascii="Times New Roman" w:hAnsi="Times New Roman" w:eastAsia="宋体" w:cs="Times New Roman"/>
                <w:b/>
                <w:bCs/>
                <w:color w:val="auto"/>
                <w:sz w:val="24"/>
                <w:szCs w:val="22"/>
                <w:highlight w:val="none"/>
                <w:lang w:val="en-US" w:eastAsia="zh-CN"/>
              </w:rPr>
              <w:t>废气</w:t>
            </w:r>
            <w:r>
              <w:rPr>
                <w:rFonts w:hint="eastAsia" w:ascii="Times New Roman" w:hAnsi="Times New Roman" w:eastAsia="宋体" w:cs="Times New Roman"/>
                <w:b/>
                <w:bCs/>
                <w:color w:val="auto"/>
                <w:sz w:val="24"/>
                <w:szCs w:val="22"/>
                <w:highlight w:val="none"/>
                <w:lang w:val="en-US" w:eastAsia="zh-CN"/>
              </w:rPr>
              <w:t>（排气筒DA001）</w:t>
            </w:r>
          </w:p>
          <w:p w14:paraId="38AD4F2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①印刷、过油、粘盒</w:t>
            </w:r>
            <w:r>
              <w:rPr>
                <w:rFonts w:hint="eastAsia" w:ascii="Times New Roman" w:hAnsi="Times New Roman" w:eastAsia="宋体" w:cs="Times New Roman"/>
                <w:color w:val="auto"/>
                <w:sz w:val="24"/>
                <w:szCs w:val="32"/>
                <w:highlight w:val="none"/>
                <w:lang w:val="en-US" w:eastAsia="zh-CN"/>
              </w:rPr>
              <w:t>产污分析</w:t>
            </w:r>
          </w:p>
          <w:p w14:paraId="3458DE3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highlight w:val="none"/>
                <w:lang w:val="en-US" w:eastAsia="zh-CN"/>
              </w:rPr>
            </w:pPr>
            <w:r>
              <w:rPr>
                <w:rFonts w:hint="eastAsia" w:ascii="Times New Roman" w:hAnsi="Times New Roman" w:eastAsia="宋体" w:cs="Times New Roman"/>
                <w:color w:val="auto"/>
                <w:sz w:val="24"/>
                <w:szCs w:val="32"/>
                <w:highlight w:val="none"/>
                <w:lang w:val="en-US" w:eastAsia="zh-CN"/>
              </w:rPr>
              <w:t>根据前文的产污分析，涉及工艺废气的产污环节包括前处理（调墨、润版），印刷中（胶印机使用大豆油墨、过油机使用水性光油</w:t>
            </w:r>
            <w:r>
              <w:rPr>
                <w:rFonts w:hint="eastAsia" w:cs="Times New Roman"/>
                <w:color w:val="auto"/>
                <w:sz w:val="24"/>
                <w:szCs w:val="32"/>
                <w:highlight w:val="none"/>
                <w:lang w:val="en-US" w:eastAsia="zh-CN"/>
              </w:rPr>
              <w:t>和天那水</w:t>
            </w:r>
            <w:r>
              <w:rPr>
                <w:rFonts w:hint="eastAsia" w:ascii="Times New Roman" w:hAnsi="Times New Roman" w:eastAsia="宋体" w:cs="Times New Roman"/>
                <w:color w:val="auto"/>
                <w:sz w:val="24"/>
                <w:szCs w:val="32"/>
                <w:highlight w:val="none"/>
                <w:lang w:val="en-US" w:eastAsia="zh-CN"/>
              </w:rPr>
              <w:t>），印刷后处理（洗车水清洗油墨）。以上工序为有组织排放，其中调墨、润版、</w:t>
            </w:r>
            <w:r>
              <w:rPr>
                <w:rFonts w:hint="eastAsia" w:cs="Times New Roman"/>
                <w:color w:val="auto"/>
                <w:sz w:val="24"/>
                <w:szCs w:val="32"/>
                <w:highlight w:val="none"/>
                <w:lang w:val="en-US" w:eastAsia="zh-CN"/>
              </w:rPr>
              <w:t>印刷、过油</w:t>
            </w:r>
            <w:r>
              <w:rPr>
                <w:rFonts w:hint="eastAsia" w:ascii="Times New Roman" w:hAnsi="Times New Roman" w:eastAsia="宋体" w:cs="Times New Roman"/>
                <w:color w:val="auto"/>
                <w:sz w:val="24"/>
                <w:szCs w:val="32"/>
                <w:highlight w:val="none"/>
                <w:lang w:val="en-US" w:eastAsia="zh-CN"/>
              </w:rPr>
              <w:t>、油墨清洗位于</w:t>
            </w:r>
            <w:r>
              <w:rPr>
                <w:rFonts w:hint="eastAsia" w:cs="Times New Roman"/>
                <w:color w:val="auto"/>
                <w:sz w:val="24"/>
                <w:szCs w:val="32"/>
                <w:highlight w:val="none"/>
                <w:lang w:val="en-US" w:eastAsia="zh-CN"/>
              </w:rPr>
              <w:t>生产</w:t>
            </w:r>
            <w:r>
              <w:rPr>
                <w:rFonts w:hint="eastAsia" w:ascii="Times New Roman" w:hAnsi="Times New Roman" w:eastAsia="宋体" w:cs="Times New Roman"/>
                <w:color w:val="auto"/>
                <w:sz w:val="24"/>
                <w:szCs w:val="32"/>
                <w:highlight w:val="none"/>
                <w:lang w:val="en-US" w:eastAsia="zh-CN"/>
              </w:rPr>
              <w:t>车间</w:t>
            </w:r>
            <w:r>
              <w:rPr>
                <w:rFonts w:hint="eastAsia" w:cs="Times New Roman"/>
                <w:color w:val="auto"/>
                <w:sz w:val="24"/>
                <w:szCs w:val="32"/>
                <w:highlight w:val="none"/>
                <w:lang w:val="en-US" w:eastAsia="zh-CN"/>
              </w:rPr>
              <w:t>内，对每台设备上方布置</w:t>
            </w:r>
            <w:r>
              <w:rPr>
                <w:rFonts w:hint="eastAsia" w:ascii="Times New Roman" w:hAnsi="Times New Roman" w:eastAsia="宋体" w:cs="Times New Roman"/>
                <w:color w:val="auto"/>
                <w:sz w:val="24"/>
                <w:szCs w:val="32"/>
                <w:highlight w:val="none"/>
                <w:lang w:val="en-US" w:eastAsia="zh-CN"/>
              </w:rPr>
              <w:t>集气罩收集。收集的废气汇合经排气筒DA001排放。</w:t>
            </w:r>
          </w:p>
          <w:p w14:paraId="578D93D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bCs/>
                <w:color w:val="auto"/>
                <w:sz w:val="24"/>
                <w:szCs w:val="22"/>
                <w:highlight w:val="none"/>
              </w:rPr>
            </w:pPr>
            <w:r>
              <w:rPr>
                <w:rFonts w:hint="default" w:ascii="Times New Roman" w:hAnsi="Times New Roman" w:eastAsia="宋体" w:cs="Times New Roman"/>
                <w:color w:val="auto"/>
                <w:sz w:val="24"/>
                <w:szCs w:val="32"/>
                <w:highlight w:val="none"/>
                <w:lang w:val="en-US" w:eastAsia="zh-CN"/>
              </w:rPr>
              <w:t>根据</w:t>
            </w:r>
            <w:r>
              <w:rPr>
                <w:rFonts w:hint="eastAsia" w:ascii="Times New Roman" w:hAnsi="Times New Roman" w:eastAsia="宋体" w:cs="Times New Roman"/>
                <w:color w:val="auto"/>
                <w:sz w:val="24"/>
                <w:szCs w:val="32"/>
                <w:highlight w:val="none"/>
                <w:lang w:val="en-US" w:eastAsia="zh-CN"/>
              </w:rPr>
              <w:t>润版液、</w:t>
            </w:r>
            <w:r>
              <w:rPr>
                <w:rFonts w:hint="eastAsia" w:cs="Times New Roman"/>
                <w:color w:val="auto"/>
                <w:sz w:val="24"/>
                <w:szCs w:val="32"/>
                <w:highlight w:val="none"/>
                <w:lang w:val="en-US" w:eastAsia="zh-CN"/>
              </w:rPr>
              <w:t>大豆油墨、</w:t>
            </w:r>
            <w:r>
              <w:rPr>
                <w:rFonts w:hint="eastAsia" w:ascii="Times New Roman" w:hAnsi="Times New Roman" w:eastAsia="宋体" w:cs="Times New Roman"/>
                <w:color w:val="auto"/>
                <w:sz w:val="24"/>
                <w:szCs w:val="32"/>
                <w:highlight w:val="none"/>
                <w:lang w:val="en-US" w:eastAsia="zh-CN"/>
              </w:rPr>
              <w:t>水性光油</w:t>
            </w:r>
            <w:r>
              <w:rPr>
                <w:rFonts w:hint="eastAsia" w:cs="Times New Roman"/>
                <w:color w:val="auto"/>
                <w:sz w:val="24"/>
                <w:szCs w:val="32"/>
                <w:highlight w:val="none"/>
                <w:lang w:val="en-US" w:eastAsia="zh-CN"/>
              </w:rPr>
              <w:t>和天那水</w:t>
            </w:r>
            <w:r>
              <w:rPr>
                <w:rFonts w:hint="eastAsia" w:ascii="Times New Roman" w:hAnsi="Times New Roman" w:eastAsia="宋体" w:cs="Times New Roman"/>
                <w:color w:val="auto"/>
                <w:sz w:val="24"/>
                <w:szCs w:val="32"/>
                <w:highlight w:val="none"/>
                <w:lang w:val="en-US" w:eastAsia="zh-CN"/>
              </w:rPr>
              <w:t>、</w:t>
            </w:r>
            <w:r>
              <w:rPr>
                <w:rFonts w:hint="default" w:ascii="Times New Roman" w:hAnsi="Times New Roman" w:eastAsia="宋体" w:cs="Times New Roman"/>
                <w:color w:val="auto"/>
                <w:sz w:val="24"/>
                <w:szCs w:val="32"/>
                <w:highlight w:val="none"/>
                <w:lang w:val="en-US" w:eastAsia="zh-CN"/>
              </w:rPr>
              <w:t>油墨清洗剂</w:t>
            </w:r>
            <w:r>
              <w:rPr>
                <w:rFonts w:hint="eastAsia" w:ascii="Times New Roman" w:hAnsi="Times New Roman" w:eastAsia="宋体" w:cs="Times New Roman"/>
                <w:color w:val="auto"/>
                <w:sz w:val="24"/>
                <w:szCs w:val="32"/>
                <w:highlight w:val="none"/>
                <w:lang w:val="en-US" w:eastAsia="zh-CN"/>
              </w:rPr>
              <w:t>（洗车水）</w:t>
            </w:r>
            <w:r>
              <w:rPr>
                <w:rFonts w:hint="default" w:ascii="Times New Roman" w:hAnsi="Times New Roman" w:eastAsia="宋体" w:cs="Times New Roman"/>
                <w:color w:val="auto"/>
                <w:sz w:val="24"/>
                <w:szCs w:val="32"/>
                <w:highlight w:val="none"/>
                <w:lang w:val="en-US" w:eastAsia="zh-CN"/>
              </w:rPr>
              <w:t>的VOCs含量检测报告可知，</w:t>
            </w:r>
            <w:r>
              <w:rPr>
                <w:rFonts w:hint="eastAsia" w:ascii="Times New Roman" w:hAnsi="Times New Roman" w:eastAsia="宋体" w:cs="Times New Roman"/>
                <w:color w:val="auto"/>
                <w:sz w:val="24"/>
                <w:szCs w:val="32"/>
                <w:highlight w:val="none"/>
                <w:lang w:val="en-US" w:eastAsia="zh-CN"/>
              </w:rPr>
              <w:t>有机废气的产生量如下：</w:t>
            </w:r>
          </w:p>
          <w:p w14:paraId="1E527A09">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w:t>
            </w:r>
            <w:r>
              <w:rPr>
                <w:rFonts w:hint="eastAsia" w:cs="Times New Roman"/>
                <w:b/>
                <w:bCs/>
                <w:color w:val="auto"/>
                <w:highlight w:val="none"/>
                <w:lang w:val="en-US" w:eastAsia="zh-CN"/>
              </w:rPr>
              <w:t>4-1</w:t>
            </w:r>
            <w:r>
              <w:rPr>
                <w:rFonts w:hint="default" w:ascii="Times New Roman" w:hAnsi="Times New Roman" w:cs="Times New Roman"/>
                <w:b/>
                <w:bCs/>
                <w:color w:val="auto"/>
                <w:highlight w:val="none"/>
                <w:lang w:val="en-US" w:eastAsia="zh-CN"/>
              </w:rPr>
              <w:t xml:space="preserve"> 有机废气源强计算一览表</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5"/>
              <w:gridCol w:w="1870"/>
              <w:gridCol w:w="1110"/>
              <w:gridCol w:w="1111"/>
              <w:gridCol w:w="1091"/>
              <w:gridCol w:w="1428"/>
            </w:tblGrid>
            <w:tr w14:paraId="216A3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1195" w:type="dxa"/>
                  <w:noWrap w:val="0"/>
                  <w:vAlign w:val="center"/>
                </w:tcPr>
                <w:p w14:paraId="489301A8">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污染源</w:t>
                  </w:r>
                </w:p>
              </w:tc>
              <w:tc>
                <w:tcPr>
                  <w:tcW w:w="1870" w:type="dxa"/>
                  <w:noWrap w:val="0"/>
                  <w:vAlign w:val="center"/>
                </w:tcPr>
                <w:p w14:paraId="3FF30EB7">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VOCs物料</w:t>
                  </w:r>
                </w:p>
              </w:tc>
              <w:tc>
                <w:tcPr>
                  <w:tcW w:w="1110" w:type="dxa"/>
                  <w:noWrap w:val="0"/>
                  <w:vAlign w:val="center"/>
                </w:tcPr>
                <w:p w14:paraId="2F3AB4F0">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年用量（t）</w:t>
                  </w:r>
                </w:p>
              </w:tc>
              <w:tc>
                <w:tcPr>
                  <w:tcW w:w="1111" w:type="dxa"/>
                  <w:noWrap w:val="0"/>
                  <w:vAlign w:val="center"/>
                </w:tcPr>
                <w:p w14:paraId="3FAF9161">
                  <w:pPr>
                    <w:keepNext w:val="0"/>
                    <w:keepLines w:val="0"/>
                    <w:suppressLineNumbers w:val="0"/>
                    <w:spacing w:before="0" w:beforeAutospacing="0" w:after="0" w:afterAutospacing="0"/>
                    <w:ind w:left="0" w:right="0"/>
                    <w:jc w:val="center"/>
                    <w:rPr>
                      <w:rFonts w:hint="eastAsia" w:cs="Times New Roman"/>
                      <w:b/>
                      <w:bCs/>
                      <w:color w:val="auto"/>
                      <w:highlight w:val="none"/>
                      <w:lang w:val="en-US" w:eastAsia="zh-CN"/>
                    </w:rPr>
                  </w:pPr>
                  <w:r>
                    <w:rPr>
                      <w:rFonts w:hint="eastAsia" w:cs="Times New Roman"/>
                      <w:b/>
                      <w:bCs/>
                      <w:color w:val="auto"/>
                      <w:highlight w:val="none"/>
                      <w:lang w:val="en-US" w:eastAsia="zh-CN"/>
                    </w:rPr>
                    <w:t>密度</w:t>
                  </w:r>
                </w:p>
                <w:p w14:paraId="6607EDD0">
                  <w:pPr>
                    <w:keepNext w:val="0"/>
                    <w:keepLines w:val="0"/>
                    <w:suppressLineNumbers w:val="0"/>
                    <w:spacing w:before="0" w:beforeAutospacing="0" w:after="0" w:afterAutospacing="0"/>
                    <w:ind w:left="0" w:right="0"/>
                    <w:jc w:val="center"/>
                    <w:rPr>
                      <w:rFonts w:hint="default" w:cs="Times New Roman"/>
                      <w:b/>
                      <w:bCs/>
                      <w:color w:val="auto"/>
                      <w:highlight w:val="none"/>
                      <w:lang w:val="en-US" w:eastAsia="zh-CN"/>
                    </w:rPr>
                  </w:pPr>
                  <w:r>
                    <w:rPr>
                      <w:rFonts w:hint="eastAsia" w:cs="Times New Roman"/>
                      <w:b/>
                      <w:bCs/>
                      <w:color w:val="auto"/>
                      <w:highlight w:val="none"/>
                      <w:lang w:val="en-US" w:eastAsia="zh-CN"/>
                    </w:rPr>
                    <w:t>（</w:t>
                  </w:r>
                  <w:r>
                    <w:rPr>
                      <w:rFonts w:hint="default" w:ascii="Times New Roman" w:hAnsi="Times New Roman" w:eastAsia="宋体" w:cs="Times New Roman"/>
                      <w:b/>
                      <w:bCs/>
                      <w:color w:val="auto"/>
                      <w:sz w:val="21"/>
                      <w:szCs w:val="21"/>
                      <w:highlight w:val="none"/>
                    </w:rPr>
                    <w:t>g/cm³</w:t>
                  </w:r>
                  <w:r>
                    <w:rPr>
                      <w:rFonts w:hint="eastAsia" w:cs="Times New Roman"/>
                      <w:b/>
                      <w:bCs/>
                      <w:color w:val="auto"/>
                      <w:highlight w:val="none"/>
                      <w:lang w:val="en-US" w:eastAsia="zh-CN"/>
                    </w:rPr>
                    <w:t>）</w:t>
                  </w:r>
                </w:p>
              </w:tc>
              <w:tc>
                <w:tcPr>
                  <w:tcW w:w="1091" w:type="dxa"/>
                  <w:noWrap w:val="0"/>
                  <w:vAlign w:val="center"/>
                </w:tcPr>
                <w:p w14:paraId="30708347">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VOCs</w:t>
                  </w:r>
                </w:p>
                <w:p w14:paraId="17CE6DDA">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含量</w:t>
                  </w:r>
                </w:p>
              </w:tc>
              <w:tc>
                <w:tcPr>
                  <w:tcW w:w="1428" w:type="dxa"/>
                  <w:noWrap w:val="0"/>
                  <w:vAlign w:val="center"/>
                </w:tcPr>
                <w:p w14:paraId="34360BD5">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产生量（t）</w:t>
                  </w:r>
                </w:p>
              </w:tc>
            </w:tr>
            <w:tr w14:paraId="4CCD4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195" w:type="dxa"/>
                  <w:vMerge w:val="restart"/>
                  <w:noWrap w:val="0"/>
                  <w:vAlign w:val="center"/>
                </w:tcPr>
                <w:p w14:paraId="11BD7909">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印刷</w:t>
                  </w:r>
                </w:p>
              </w:tc>
              <w:tc>
                <w:tcPr>
                  <w:tcW w:w="1870" w:type="dxa"/>
                  <w:noWrap w:val="0"/>
                  <w:vAlign w:val="center"/>
                </w:tcPr>
                <w:p w14:paraId="7B409583">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润版液</w:t>
                  </w:r>
                </w:p>
              </w:tc>
              <w:tc>
                <w:tcPr>
                  <w:tcW w:w="1110" w:type="dxa"/>
                  <w:noWrap w:val="0"/>
                  <w:vAlign w:val="center"/>
                </w:tcPr>
                <w:p w14:paraId="7751F0B1">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r>
                    <w:rPr>
                      <w:rFonts w:hint="eastAsia" w:cs="Times New Roman"/>
                      <w:color w:val="auto"/>
                      <w:highlight w:val="none"/>
                      <w:lang w:val="en-US" w:eastAsia="zh-CN"/>
                    </w:rPr>
                    <w:t>1</w:t>
                  </w:r>
                </w:p>
              </w:tc>
              <w:tc>
                <w:tcPr>
                  <w:tcW w:w="1111" w:type="dxa"/>
                  <w:noWrap w:val="0"/>
                  <w:vAlign w:val="center"/>
                </w:tcPr>
                <w:p w14:paraId="4A72A3B5">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1.03</w:t>
                  </w:r>
                </w:p>
              </w:tc>
              <w:tc>
                <w:tcPr>
                  <w:tcW w:w="1091" w:type="dxa"/>
                  <w:noWrap w:val="0"/>
                  <w:vAlign w:val="center"/>
                </w:tcPr>
                <w:p w14:paraId="177D2802">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26</w:t>
                  </w:r>
                  <w:r>
                    <w:rPr>
                      <w:rFonts w:hint="default" w:ascii="Times New Roman" w:hAnsi="Times New Roman" w:cs="Times New Roman"/>
                      <w:color w:val="auto"/>
                      <w:highlight w:val="none"/>
                      <w:lang w:val="en-US" w:eastAsia="zh-CN"/>
                    </w:rPr>
                    <w:t>g/L</w:t>
                  </w:r>
                </w:p>
              </w:tc>
              <w:tc>
                <w:tcPr>
                  <w:tcW w:w="1428" w:type="dxa"/>
                  <w:noWrap w:val="0"/>
                  <w:vAlign w:val="center"/>
                </w:tcPr>
                <w:p w14:paraId="763518FB">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0.0025</w:t>
                  </w:r>
                </w:p>
              </w:tc>
            </w:tr>
            <w:tr w14:paraId="7886E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195" w:type="dxa"/>
                  <w:vMerge w:val="continue"/>
                  <w:noWrap w:val="0"/>
                  <w:vAlign w:val="center"/>
                </w:tcPr>
                <w:p w14:paraId="38605783">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p>
              </w:tc>
              <w:tc>
                <w:tcPr>
                  <w:tcW w:w="1870" w:type="dxa"/>
                  <w:noWrap w:val="0"/>
                  <w:vAlign w:val="center"/>
                </w:tcPr>
                <w:p w14:paraId="1EADE48D">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大豆油墨</w:t>
                  </w:r>
                </w:p>
              </w:tc>
              <w:tc>
                <w:tcPr>
                  <w:tcW w:w="1110" w:type="dxa"/>
                  <w:noWrap w:val="0"/>
                  <w:vAlign w:val="center"/>
                </w:tcPr>
                <w:p w14:paraId="2CCFF925">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1.5</w:t>
                  </w:r>
                </w:p>
              </w:tc>
              <w:tc>
                <w:tcPr>
                  <w:tcW w:w="1111" w:type="dxa"/>
                  <w:noWrap w:val="0"/>
                  <w:vAlign w:val="center"/>
                </w:tcPr>
                <w:p w14:paraId="7CA21F48">
                  <w:pPr>
                    <w:keepNext w:val="0"/>
                    <w:keepLines w:val="0"/>
                    <w:suppressLineNumbers w:val="0"/>
                    <w:spacing w:before="0" w:beforeAutospacing="0" w:after="0" w:afterAutospacing="0"/>
                    <w:ind w:left="0" w:right="0"/>
                    <w:jc w:val="center"/>
                    <w:rPr>
                      <w:rFonts w:hint="eastAsia" w:cs="Times New Roman"/>
                      <w:color w:val="auto"/>
                      <w:highlight w:val="none"/>
                      <w:lang w:val="en-US" w:eastAsia="zh-CN"/>
                    </w:rPr>
                  </w:pPr>
                  <w:r>
                    <w:rPr>
                      <w:rFonts w:hint="eastAsia" w:ascii="Times New Roman" w:cs="Times New Roman"/>
                      <w:color w:val="auto"/>
                      <w:sz w:val="21"/>
                      <w:szCs w:val="21"/>
                      <w:highlight w:val="none"/>
                      <w:lang w:val="en-US" w:eastAsia="zh-CN"/>
                    </w:rPr>
                    <w:t>1.45</w:t>
                  </w:r>
                </w:p>
              </w:tc>
              <w:tc>
                <w:tcPr>
                  <w:tcW w:w="1091" w:type="dxa"/>
                  <w:noWrap w:val="0"/>
                  <w:vAlign w:val="center"/>
                </w:tcPr>
                <w:p w14:paraId="4DDE796C">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0.1%</w:t>
                  </w:r>
                </w:p>
              </w:tc>
              <w:tc>
                <w:tcPr>
                  <w:tcW w:w="1428" w:type="dxa"/>
                  <w:noWrap w:val="0"/>
                  <w:vAlign w:val="center"/>
                </w:tcPr>
                <w:p w14:paraId="09C9C8D5">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0.0015</w:t>
                  </w:r>
                </w:p>
              </w:tc>
            </w:tr>
            <w:tr w14:paraId="1E239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195" w:type="dxa"/>
                  <w:vMerge w:val="continue"/>
                  <w:noWrap w:val="0"/>
                  <w:vAlign w:val="center"/>
                </w:tcPr>
                <w:p w14:paraId="25649778">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p>
              </w:tc>
              <w:tc>
                <w:tcPr>
                  <w:tcW w:w="1870" w:type="dxa"/>
                  <w:noWrap w:val="0"/>
                  <w:vAlign w:val="center"/>
                </w:tcPr>
                <w:p w14:paraId="240A3EE3">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油墨清洗剂</w:t>
                  </w:r>
                </w:p>
              </w:tc>
              <w:tc>
                <w:tcPr>
                  <w:tcW w:w="1110" w:type="dxa"/>
                  <w:noWrap w:val="0"/>
                  <w:vAlign w:val="center"/>
                </w:tcPr>
                <w:p w14:paraId="09FC1EF3">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r>
                    <w:rPr>
                      <w:rFonts w:hint="eastAsia" w:cs="Times New Roman"/>
                      <w:color w:val="auto"/>
                      <w:highlight w:val="none"/>
                      <w:lang w:val="en-US" w:eastAsia="zh-CN"/>
                    </w:rPr>
                    <w:t>1</w:t>
                  </w:r>
                </w:p>
              </w:tc>
              <w:tc>
                <w:tcPr>
                  <w:tcW w:w="1111" w:type="dxa"/>
                  <w:noWrap w:val="0"/>
                  <w:vAlign w:val="center"/>
                </w:tcPr>
                <w:p w14:paraId="63FE6FA9">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1.03</w:t>
                  </w:r>
                </w:p>
              </w:tc>
              <w:tc>
                <w:tcPr>
                  <w:tcW w:w="1091" w:type="dxa"/>
                  <w:noWrap w:val="0"/>
                  <w:vAlign w:val="center"/>
                </w:tcPr>
                <w:p w14:paraId="31E46C30">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83</w:t>
                  </w:r>
                  <w:r>
                    <w:rPr>
                      <w:rFonts w:hint="default" w:ascii="Times New Roman" w:hAnsi="Times New Roman" w:cs="Times New Roman"/>
                      <w:color w:val="auto"/>
                      <w:highlight w:val="none"/>
                      <w:lang w:val="en-US" w:eastAsia="zh-CN"/>
                    </w:rPr>
                    <w:t>g/L</w:t>
                  </w:r>
                </w:p>
              </w:tc>
              <w:tc>
                <w:tcPr>
                  <w:tcW w:w="1428" w:type="dxa"/>
                  <w:noWrap w:val="0"/>
                  <w:vAlign w:val="center"/>
                </w:tcPr>
                <w:p w14:paraId="2B87DE04">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0.0057</w:t>
                  </w:r>
                </w:p>
              </w:tc>
            </w:tr>
            <w:tr w14:paraId="3138A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195" w:type="dxa"/>
                  <w:vMerge w:val="restart"/>
                  <w:noWrap w:val="0"/>
                  <w:vAlign w:val="center"/>
                </w:tcPr>
                <w:p w14:paraId="70A75012">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过油</w:t>
                  </w:r>
                </w:p>
              </w:tc>
              <w:tc>
                <w:tcPr>
                  <w:tcW w:w="1870" w:type="dxa"/>
                  <w:noWrap w:val="0"/>
                  <w:vAlign w:val="center"/>
                </w:tcPr>
                <w:p w14:paraId="3D8B07E9">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水性光油</w:t>
                  </w:r>
                </w:p>
              </w:tc>
              <w:tc>
                <w:tcPr>
                  <w:tcW w:w="1110" w:type="dxa"/>
                  <w:noWrap w:val="0"/>
                  <w:vAlign w:val="center"/>
                </w:tcPr>
                <w:p w14:paraId="0068407D">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0.4</w:t>
                  </w:r>
                </w:p>
              </w:tc>
              <w:tc>
                <w:tcPr>
                  <w:tcW w:w="1111" w:type="dxa"/>
                  <w:noWrap w:val="0"/>
                  <w:vAlign w:val="center"/>
                </w:tcPr>
                <w:p w14:paraId="5AD107A9">
                  <w:pPr>
                    <w:keepNext w:val="0"/>
                    <w:keepLines w:val="0"/>
                    <w:suppressLineNumbers w:val="0"/>
                    <w:spacing w:before="0" w:beforeAutospacing="0" w:after="0" w:afterAutospacing="0"/>
                    <w:ind w:left="0" w:right="0"/>
                    <w:jc w:val="center"/>
                    <w:rPr>
                      <w:rFonts w:hint="default" w:cs="Times New Roman"/>
                      <w:color w:val="auto"/>
                      <w:highlight w:val="none"/>
                      <w:lang w:val="en-US" w:eastAsia="zh-CN"/>
                    </w:rPr>
                  </w:pPr>
                  <w:r>
                    <w:rPr>
                      <w:rFonts w:hint="eastAsia" w:cs="Times New Roman"/>
                      <w:color w:val="auto"/>
                      <w:highlight w:val="none"/>
                      <w:lang w:val="en-US" w:eastAsia="zh-CN"/>
                    </w:rPr>
                    <w:t>1.05</w:t>
                  </w:r>
                </w:p>
              </w:tc>
              <w:tc>
                <w:tcPr>
                  <w:tcW w:w="1091" w:type="dxa"/>
                  <w:noWrap w:val="0"/>
                  <w:vAlign w:val="center"/>
                </w:tcPr>
                <w:p w14:paraId="0F4EE97B">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0.1%</w:t>
                  </w:r>
                </w:p>
              </w:tc>
              <w:tc>
                <w:tcPr>
                  <w:tcW w:w="1428" w:type="dxa"/>
                  <w:noWrap w:val="0"/>
                  <w:vAlign w:val="center"/>
                </w:tcPr>
                <w:p w14:paraId="424DBFFD">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0.004</w:t>
                  </w:r>
                </w:p>
              </w:tc>
            </w:tr>
            <w:tr w14:paraId="07353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195" w:type="dxa"/>
                  <w:vMerge w:val="continue"/>
                  <w:noWrap w:val="0"/>
                  <w:vAlign w:val="center"/>
                </w:tcPr>
                <w:p w14:paraId="4225F0CB">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p>
              </w:tc>
              <w:tc>
                <w:tcPr>
                  <w:tcW w:w="1870" w:type="dxa"/>
                  <w:noWrap w:val="0"/>
                  <w:vAlign w:val="center"/>
                </w:tcPr>
                <w:p w14:paraId="294621D0">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天那水</w:t>
                  </w:r>
                </w:p>
              </w:tc>
              <w:tc>
                <w:tcPr>
                  <w:tcW w:w="1110" w:type="dxa"/>
                  <w:noWrap w:val="0"/>
                  <w:vAlign w:val="center"/>
                </w:tcPr>
                <w:p w14:paraId="77A7A88C">
                  <w:pPr>
                    <w:keepNext w:val="0"/>
                    <w:keepLines w:val="0"/>
                    <w:suppressLineNumbers w:val="0"/>
                    <w:spacing w:before="0" w:beforeAutospacing="0" w:after="0" w:afterAutospacing="0"/>
                    <w:ind w:left="0" w:right="0"/>
                    <w:jc w:val="center"/>
                    <w:rPr>
                      <w:rFonts w:hint="default" w:cs="Times New Roman"/>
                      <w:color w:val="auto"/>
                      <w:highlight w:val="none"/>
                      <w:lang w:val="en-US" w:eastAsia="zh-CN"/>
                    </w:rPr>
                  </w:pPr>
                  <w:r>
                    <w:rPr>
                      <w:rFonts w:hint="eastAsia" w:cs="Times New Roman"/>
                      <w:color w:val="auto"/>
                      <w:highlight w:val="none"/>
                      <w:lang w:val="en-US" w:eastAsia="zh-CN"/>
                    </w:rPr>
                    <w:t>0.2</w:t>
                  </w:r>
                </w:p>
              </w:tc>
              <w:tc>
                <w:tcPr>
                  <w:tcW w:w="1111" w:type="dxa"/>
                  <w:noWrap w:val="0"/>
                  <w:vAlign w:val="center"/>
                </w:tcPr>
                <w:p w14:paraId="66E4E81B">
                  <w:pPr>
                    <w:keepNext w:val="0"/>
                    <w:keepLines w:val="0"/>
                    <w:suppressLineNumbers w:val="0"/>
                    <w:spacing w:before="0" w:beforeAutospacing="0" w:after="0" w:afterAutospacing="0"/>
                    <w:ind w:left="0" w:right="0"/>
                    <w:jc w:val="center"/>
                    <w:rPr>
                      <w:rFonts w:hint="default" w:cs="Times New Roman"/>
                      <w:color w:val="auto"/>
                      <w:highlight w:val="none"/>
                      <w:lang w:val="en-US" w:eastAsia="zh-CN"/>
                    </w:rPr>
                  </w:pPr>
                  <w:r>
                    <w:rPr>
                      <w:rFonts w:hint="eastAsia" w:cs="Times New Roman"/>
                      <w:color w:val="auto"/>
                      <w:highlight w:val="none"/>
                      <w:lang w:val="en-US" w:eastAsia="zh-CN"/>
                    </w:rPr>
                    <w:t>0.86</w:t>
                  </w:r>
                </w:p>
              </w:tc>
              <w:tc>
                <w:tcPr>
                  <w:tcW w:w="1091" w:type="dxa"/>
                  <w:noWrap w:val="0"/>
                  <w:vAlign w:val="center"/>
                </w:tcPr>
                <w:p w14:paraId="65233F67">
                  <w:pPr>
                    <w:keepNext w:val="0"/>
                    <w:keepLines w:val="0"/>
                    <w:suppressLineNumbers w:val="0"/>
                    <w:spacing w:before="0" w:beforeAutospacing="0" w:after="0" w:afterAutospacing="0"/>
                    <w:ind w:left="0" w:right="0"/>
                    <w:jc w:val="center"/>
                    <w:rPr>
                      <w:rFonts w:hint="default" w:cs="Times New Roman"/>
                      <w:color w:val="auto"/>
                      <w:highlight w:val="none"/>
                      <w:lang w:val="en-US" w:eastAsia="zh-CN"/>
                    </w:rPr>
                  </w:pPr>
                  <w:r>
                    <w:rPr>
                      <w:rFonts w:hint="eastAsia" w:cs="Times New Roman"/>
                      <w:color w:val="auto"/>
                      <w:highlight w:val="none"/>
                      <w:lang w:val="en-US" w:eastAsia="zh-CN"/>
                    </w:rPr>
                    <w:t>100%</w:t>
                  </w:r>
                </w:p>
              </w:tc>
              <w:tc>
                <w:tcPr>
                  <w:tcW w:w="1428" w:type="dxa"/>
                  <w:noWrap w:val="0"/>
                  <w:vAlign w:val="center"/>
                </w:tcPr>
                <w:p w14:paraId="3ADE0EBC">
                  <w:pPr>
                    <w:keepNext w:val="0"/>
                    <w:keepLines w:val="0"/>
                    <w:suppressLineNumbers w:val="0"/>
                    <w:spacing w:before="0" w:beforeAutospacing="0" w:after="0" w:afterAutospacing="0"/>
                    <w:ind w:left="0" w:right="0"/>
                    <w:jc w:val="center"/>
                    <w:rPr>
                      <w:rFonts w:hint="default" w:cs="Times New Roman"/>
                      <w:color w:val="auto"/>
                      <w:highlight w:val="none"/>
                      <w:lang w:val="en-US" w:eastAsia="zh-CN"/>
                    </w:rPr>
                  </w:pPr>
                  <w:r>
                    <w:rPr>
                      <w:rFonts w:hint="eastAsia" w:cs="Times New Roman"/>
                      <w:color w:val="auto"/>
                      <w:highlight w:val="none"/>
                      <w:lang w:val="en-US" w:eastAsia="zh-CN"/>
                    </w:rPr>
                    <w:t>0.2</w:t>
                  </w:r>
                </w:p>
              </w:tc>
            </w:tr>
            <w:tr w14:paraId="4E62E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195" w:type="dxa"/>
                  <w:noWrap w:val="0"/>
                  <w:vAlign w:val="center"/>
                </w:tcPr>
                <w:p w14:paraId="770DADED">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粘合</w:t>
                  </w:r>
                </w:p>
              </w:tc>
              <w:tc>
                <w:tcPr>
                  <w:tcW w:w="1870" w:type="dxa"/>
                  <w:noWrap w:val="0"/>
                  <w:vAlign w:val="center"/>
                </w:tcPr>
                <w:p w14:paraId="5FAE2174">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封口胶（胶水）</w:t>
                  </w:r>
                </w:p>
              </w:tc>
              <w:tc>
                <w:tcPr>
                  <w:tcW w:w="1110" w:type="dxa"/>
                  <w:noWrap w:val="0"/>
                  <w:vAlign w:val="center"/>
                </w:tcPr>
                <w:p w14:paraId="22BF6324">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0.3</w:t>
                  </w:r>
                </w:p>
              </w:tc>
              <w:tc>
                <w:tcPr>
                  <w:tcW w:w="1111" w:type="dxa"/>
                  <w:noWrap w:val="0"/>
                  <w:vAlign w:val="center"/>
                </w:tcPr>
                <w:p w14:paraId="479DBDAB">
                  <w:pPr>
                    <w:keepNext w:val="0"/>
                    <w:keepLines w:val="0"/>
                    <w:suppressLineNumbers w:val="0"/>
                    <w:spacing w:before="0" w:beforeAutospacing="0" w:after="0" w:afterAutospacing="0"/>
                    <w:ind w:left="0" w:right="0"/>
                    <w:jc w:val="center"/>
                    <w:rPr>
                      <w:rFonts w:hint="eastAsia" w:cs="Times New Roman"/>
                      <w:color w:val="auto"/>
                      <w:highlight w:val="none"/>
                      <w:lang w:val="en-US" w:eastAsia="zh-CN"/>
                    </w:rPr>
                  </w:pPr>
                  <w:r>
                    <w:rPr>
                      <w:rFonts w:hint="eastAsia" w:ascii="Times New Roman" w:cs="Times New Roman"/>
                      <w:color w:val="auto"/>
                      <w:sz w:val="21"/>
                      <w:szCs w:val="21"/>
                      <w:highlight w:val="none"/>
                      <w:lang w:val="en-US" w:eastAsia="zh-CN"/>
                    </w:rPr>
                    <w:t>0.93</w:t>
                  </w:r>
                </w:p>
              </w:tc>
              <w:tc>
                <w:tcPr>
                  <w:tcW w:w="1091" w:type="dxa"/>
                  <w:noWrap w:val="0"/>
                  <w:vAlign w:val="center"/>
                </w:tcPr>
                <w:p w14:paraId="7F279332">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eastAsia" w:cs="Times New Roman"/>
                      <w:b w:val="0"/>
                      <w:bCs w:val="0"/>
                      <w:color w:val="auto"/>
                      <w:sz w:val="21"/>
                      <w:szCs w:val="21"/>
                      <w:highlight w:val="none"/>
                      <w:vertAlign w:val="baseline"/>
                      <w:lang w:val="en-US" w:eastAsia="zh-CN"/>
                    </w:rPr>
                    <w:t>216</w:t>
                  </w:r>
                  <w:r>
                    <w:rPr>
                      <w:rFonts w:hint="default" w:ascii="Times New Roman" w:hAnsi="Times New Roman" w:eastAsia="宋体" w:cs="Times New Roman"/>
                      <w:b w:val="0"/>
                      <w:bCs w:val="0"/>
                      <w:color w:val="auto"/>
                      <w:sz w:val="21"/>
                      <w:szCs w:val="21"/>
                      <w:highlight w:val="none"/>
                      <w:vertAlign w:val="baseline"/>
                      <w:lang w:val="en-US" w:eastAsia="zh-CN"/>
                    </w:rPr>
                    <w:t>g/L</w:t>
                  </w:r>
                </w:p>
              </w:tc>
              <w:tc>
                <w:tcPr>
                  <w:tcW w:w="1428" w:type="dxa"/>
                  <w:noWrap w:val="0"/>
                  <w:vAlign w:val="center"/>
                </w:tcPr>
                <w:p w14:paraId="79B58126">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0.023</w:t>
                  </w:r>
                </w:p>
              </w:tc>
            </w:tr>
            <w:tr w14:paraId="45C63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6377" w:type="dxa"/>
                  <w:gridSpan w:val="5"/>
                  <w:noWrap w:val="0"/>
                  <w:vAlign w:val="center"/>
                </w:tcPr>
                <w:p w14:paraId="2458B356">
                  <w:pPr>
                    <w:keepNext w:val="0"/>
                    <w:keepLines w:val="0"/>
                    <w:suppressLineNumbers w:val="0"/>
                    <w:spacing w:before="0" w:beforeAutospacing="0" w:after="0" w:afterAutospacing="0"/>
                    <w:ind w:left="0" w:right="0"/>
                    <w:jc w:val="center"/>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合计</w:t>
                  </w:r>
                </w:p>
              </w:tc>
              <w:tc>
                <w:tcPr>
                  <w:tcW w:w="1428" w:type="dxa"/>
                  <w:noWrap w:val="0"/>
                  <w:vAlign w:val="center"/>
                </w:tcPr>
                <w:p w14:paraId="0A72B4BA">
                  <w:pPr>
                    <w:keepNext w:val="0"/>
                    <w:keepLines w:val="0"/>
                    <w:suppressLineNumbers w:val="0"/>
                    <w:spacing w:before="0" w:beforeAutospacing="0" w:after="0" w:afterAutospacing="0"/>
                    <w:ind w:left="0" w:right="0"/>
                    <w:jc w:val="center"/>
                    <w:rPr>
                      <w:rFonts w:hint="default" w:cs="Times New Roman"/>
                      <w:color w:val="auto"/>
                      <w:highlight w:val="none"/>
                      <w:lang w:val="en-US" w:eastAsia="zh-CN"/>
                    </w:rPr>
                  </w:pPr>
                  <w:r>
                    <w:rPr>
                      <w:rFonts w:hint="eastAsia" w:cs="Times New Roman"/>
                      <w:color w:val="auto"/>
                      <w:highlight w:val="none"/>
                      <w:lang w:val="en-US" w:eastAsia="zh-CN"/>
                    </w:rPr>
                    <w:t>0.2367</w:t>
                  </w:r>
                </w:p>
              </w:tc>
            </w:tr>
            <w:tr w14:paraId="5C94D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805" w:type="dxa"/>
                  <w:gridSpan w:val="6"/>
                  <w:noWrap w:val="0"/>
                  <w:vAlign w:val="center"/>
                </w:tcPr>
                <w:p w14:paraId="19B7A87B">
                  <w:pPr>
                    <w:keepNext w:val="0"/>
                    <w:keepLines w:val="0"/>
                    <w:suppressLineNumbers w:val="0"/>
                    <w:spacing w:before="0" w:beforeAutospacing="0" w:after="0" w:afterAutospacing="0"/>
                    <w:ind w:left="0" w:right="0"/>
                    <w:jc w:val="both"/>
                    <w:rPr>
                      <w:rFonts w:hint="eastAsia" w:cs="Times New Roman"/>
                      <w:color w:val="auto"/>
                      <w:highlight w:val="none"/>
                      <w:lang w:val="en-US" w:eastAsia="zh-CN"/>
                    </w:rPr>
                  </w:pPr>
                  <w:r>
                    <w:rPr>
                      <w:rFonts w:hint="eastAsia" w:cs="Times New Roman"/>
                      <w:color w:val="auto"/>
                      <w:highlight w:val="none"/>
                      <w:lang w:val="en-US" w:eastAsia="zh-CN"/>
                    </w:rPr>
                    <w:t>注：1.润版液VOCs含量= (100000g÷1.03 g/mL÷1000 mL/L) ×26 g/L ÷1000000 g/t = 0.0025 t；</w:t>
                  </w:r>
                </w:p>
                <w:p w14:paraId="4D227B58">
                  <w:pPr>
                    <w:keepNext w:val="0"/>
                    <w:keepLines w:val="0"/>
                    <w:suppressLineNumbers w:val="0"/>
                    <w:spacing w:before="0" w:beforeAutospacing="0" w:after="0" w:afterAutospacing="0"/>
                    <w:ind w:left="0" w:right="0"/>
                    <w:jc w:val="both"/>
                    <w:rPr>
                      <w:rFonts w:hint="eastAsia" w:cs="Times New Roman"/>
                      <w:color w:val="auto"/>
                      <w:highlight w:val="none"/>
                      <w:lang w:val="en-US" w:eastAsia="zh-CN"/>
                    </w:rPr>
                  </w:pPr>
                  <w:r>
                    <w:rPr>
                      <w:rFonts w:hint="eastAsia" w:cs="Times New Roman"/>
                      <w:color w:val="auto"/>
                      <w:highlight w:val="none"/>
                      <w:lang w:val="en-US" w:eastAsia="zh-CN"/>
                    </w:rPr>
                    <w:t>2.大豆油墨VOCs含量= 1.5 t ×0.1% = 0.0015 t；</w:t>
                  </w:r>
                </w:p>
                <w:p w14:paraId="0772C751">
                  <w:pPr>
                    <w:keepNext w:val="0"/>
                    <w:keepLines w:val="0"/>
                    <w:suppressLineNumbers w:val="0"/>
                    <w:spacing w:before="0" w:beforeAutospacing="0" w:after="0" w:afterAutospacing="0"/>
                    <w:ind w:left="0" w:right="0"/>
                    <w:jc w:val="both"/>
                    <w:rPr>
                      <w:rFonts w:hint="eastAsia" w:cs="Times New Roman"/>
                      <w:color w:val="auto"/>
                      <w:highlight w:val="none"/>
                      <w:lang w:val="en-US" w:eastAsia="zh-CN"/>
                    </w:rPr>
                  </w:pPr>
                  <w:r>
                    <w:rPr>
                      <w:rFonts w:hint="eastAsia" w:cs="Times New Roman"/>
                      <w:color w:val="auto"/>
                      <w:highlight w:val="none"/>
                      <w:lang w:val="en-US" w:eastAsia="zh-CN"/>
                    </w:rPr>
                    <w:t>3.油墨清洗剂VOCs含量 = (100000g÷1.45g/mL÷1000mL/L)×83 g/L÷1000000g/t = 0.0057t；</w:t>
                  </w:r>
                </w:p>
                <w:p w14:paraId="10CFD552">
                  <w:pPr>
                    <w:keepNext w:val="0"/>
                    <w:keepLines w:val="0"/>
                    <w:suppressLineNumbers w:val="0"/>
                    <w:spacing w:before="0" w:beforeAutospacing="0" w:after="0" w:afterAutospacing="0"/>
                    <w:ind w:left="0" w:right="0"/>
                    <w:jc w:val="both"/>
                    <w:rPr>
                      <w:rFonts w:hint="eastAsia" w:cs="Times New Roman"/>
                      <w:color w:val="auto"/>
                      <w:highlight w:val="none"/>
                      <w:lang w:val="en-US" w:eastAsia="zh-CN"/>
                    </w:rPr>
                  </w:pPr>
                  <w:r>
                    <w:rPr>
                      <w:rFonts w:hint="eastAsia" w:cs="Times New Roman"/>
                      <w:color w:val="auto"/>
                      <w:highlight w:val="none"/>
                      <w:lang w:val="en-US" w:eastAsia="zh-CN"/>
                    </w:rPr>
                    <w:t>4.水性光油VOCs含量 = 0.4 t×0.1% = 0.004t；</w:t>
                  </w:r>
                </w:p>
                <w:p w14:paraId="1F6AED23">
                  <w:pPr>
                    <w:keepNext w:val="0"/>
                    <w:keepLines w:val="0"/>
                    <w:suppressLineNumbers w:val="0"/>
                    <w:spacing w:before="0" w:beforeAutospacing="0" w:after="0" w:afterAutospacing="0"/>
                    <w:ind w:left="0" w:right="0"/>
                    <w:jc w:val="both"/>
                    <w:rPr>
                      <w:rFonts w:hint="eastAsia" w:cs="Times New Roman"/>
                      <w:color w:val="auto"/>
                      <w:highlight w:val="none"/>
                      <w:lang w:val="en-US" w:eastAsia="zh-CN"/>
                    </w:rPr>
                  </w:pPr>
                </w:p>
                <w:p w14:paraId="1461A563">
                  <w:pPr>
                    <w:keepNext w:val="0"/>
                    <w:keepLines w:val="0"/>
                    <w:suppressLineNumbers w:val="0"/>
                    <w:spacing w:before="0" w:beforeAutospacing="0" w:after="0" w:afterAutospacing="0"/>
                    <w:ind w:left="0" w:right="0"/>
                    <w:jc w:val="both"/>
                    <w:rPr>
                      <w:rFonts w:hint="eastAsia" w:cs="Times New Roman"/>
                      <w:color w:val="auto"/>
                      <w:highlight w:val="none"/>
                      <w:lang w:val="en-US" w:eastAsia="zh-CN"/>
                    </w:rPr>
                  </w:pPr>
                  <w:r>
                    <w:rPr>
                      <w:rFonts w:hint="eastAsia" w:cs="Times New Roman"/>
                      <w:color w:val="auto"/>
                      <w:highlight w:val="none"/>
                      <w:lang w:val="en-US" w:eastAsia="zh-CN"/>
                    </w:rPr>
                    <w:t>5.天那水VOCs含量= 0.2 t×100% = 0.2000 t；</w:t>
                  </w:r>
                </w:p>
                <w:p w14:paraId="43A7F9D7">
                  <w:pPr>
                    <w:keepNext w:val="0"/>
                    <w:keepLines w:val="0"/>
                    <w:suppressLineNumbers w:val="0"/>
                    <w:spacing w:before="0" w:beforeAutospacing="0" w:after="0" w:afterAutospacing="0"/>
                    <w:ind w:left="0" w:right="0"/>
                    <w:jc w:val="both"/>
                    <w:rPr>
                      <w:rFonts w:hint="eastAsia" w:cs="Times New Roman"/>
                      <w:color w:val="auto"/>
                      <w:highlight w:val="none"/>
                      <w:lang w:val="en-US" w:eastAsia="zh-CN"/>
                    </w:rPr>
                  </w:pPr>
                  <w:r>
                    <w:rPr>
                      <w:rFonts w:hint="eastAsia" w:cs="Times New Roman"/>
                      <w:color w:val="auto"/>
                      <w:highlight w:val="none"/>
                      <w:lang w:val="en-US" w:eastAsia="zh-CN"/>
                    </w:rPr>
                    <w:t>6.封口胶VOCs含量= (100000g÷0.93g/mL÷1000mL/L)×216g/L÷1000000g/t= 0.0230 t。</w:t>
                  </w:r>
                </w:p>
                <w:p w14:paraId="70390B73">
                  <w:pPr>
                    <w:keepNext w:val="0"/>
                    <w:keepLines w:val="0"/>
                    <w:suppressLineNumbers w:val="0"/>
                    <w:spacing w:before="0" w:beforeAutospacing="0" w:after="0" w:afterAutospacing="0"/>
                    <w:ind w:left="0" w:right="0"/>
                    <w:jc w:val="both"/>
                    <w:rPr>
                      <w:rFonts w:hint="default" w:cs="Times New Roman"/>
                      <w:color w:val="auto"/>
                      <w:highlight w:val="none"/>
                      <w:lang w:val="en-US" w:eastAsia="zh-CN"/>
                    </w:rPr>
                  </w:pPr>
                  <w:r>
                    <w:rPr>
                      <w:rFonts w:hint="eastAsia" w:cs="Times New Roman"/>
                      <w:color w:val="auto"/>
                      <w:highlight w:val="none"/>
                      <w:lang w:val="en-US" w:eastAsia="zh-CN"/>
                    </w:rPr>
                    <w:t>6.VOCs产生量合计= 0.0025+ 0.0015+ 0.0057+ 0.0040+ 0.2000+ 0.0230= 0.2367t/a。</w:t>
                  </w:r>
                </w:p>
              </w:tc>
            </w:tr>
          </w:tbl>
          <w:p w14:paraId="0CFD8CE5">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textAlignment w:val="auto"/>
              <w:rPr>
                <w:rFonts w:hint="eastAsia" w:ascii="Calibri" w:hAnsi="Calibri" w:eastAsia="宋体" w:cs="Calibri"/>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②</w:t>
            </w:r>
            <w:r>
              <w:rPr>
                <w:rFonts w:hint="eastAsia" w:ascii="Calibri" w:hAnsi="Calibri" w:eastAsia="宋体" w:cs="Calibri"/>
                <w:color w:val="auto"/>
                <w:sz w:val="24"/>
                <w:szCs w:val="32"/>
                <w:highlight w:val="none"/>
                <w:lang w:val="en-US" w:eastAsia="zh-CN"/>
              </w:rPr>
              <w:t>风量核算</w:t>
            </w:r>
          </w:p>
          <w:p w14:paraId="5E2E3CB1">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jc w:val="both"/>
              <w:textAlignment w:val="auto"/>
              <w:rPr>
                <w:rFonts w:hint="eastAsia" w:ascii="Times New Roman" w:hAnsi="Times New Roman" w:eastAsia="宋体" w:cs="Times New Roman"/>
                <w:b w:val="0"/>
                <w:bCs w:val="0"/>
                <w:color w:val="auto"/>
                <w:sz w:val="24"/>
                <w:szCs w:val="24"/>
                <w:highlight w:val="none"/>
                <w:vertAlign w:val="baseline"/>
                <w:lang w:val="en-US" w:eastAsia="zh-CN"/>
              </w:rPr>
            </w:pPr>
            <w:r>
              <w:rPr>
                <w:color w:val="auto"/>
                <w:sz w:val="24"/>
                <w:highlight w:val="none"/>
              </w:rPr>
              <w:t>根据《废气处理工程技术手册》（王纯、张殿印主编）第968页，“当由于工艺条件限制，污染源设备较大，无法进行密闭时，只能在污染源附近设置排气罩，利用气态污染物本身运动的方向（如热气上升等），在污染源移动的方向等待并加以捕集。对散发热的设备采用伞形罩最为有利，为了能尽量捕集所散发的有害气体，必须使伞形罩底部尺寸大于污染物的发生源”。</w:t>
            </w:r>
            <w:r>
              <w:rPr>
                <w:rFonts w:hint="eastAsia" w:ascii="Times New Roman" w:hAnsi="Times New Roman" w:eastAsia="宋体" w:cs="Times New Roman"/>
                <w:b w:val="0"/>
                <w:bCs w:val="0"/>
                <w:color w:val="auto"/>
                <w:sz w:val="24"/>
                <w:szCs w:val="24"/>
                <w:highlight w:val="none"/>
                <w:vertAlign w:val="baseline"/>
                <w:lang w:val="en-US" w:eastAsia="zh-CN"/>
              </w:rPr>
              <w:t>项目共有四色胶印机、六色胶印机、砍纸机、自动贴角机、自动成型机、过油机、自动糊盒机</w:t>
            </w:r>
            <w:r>
              <w:rPr>
                <w:rFonts w:hint="eastAsia" w:cs="Times New Roman"/>
                <w:b w:val="0"/>
                <w:bCs w:val="0"/>
                <w:color w:val="auto"/>
                <w:sz w:val="24"/>
                <w:szCs w:val="24"/>
                <w:highlight w:val="none"/>
                <w:vertAlign w:val="baseline"/>
                <w:lang w:val="en-US" w:eastAsia="zh-CN"/>
              </w:rPr>
              <w:t>各1</w:t>
            </w:r>
            <w:r>
              <w:rPr>
                <w:rFonts w:hint="eastAsia" w:ascii="Times New Roman" w:hAnsi="Times New Roman" w:eastAsia="宋体" w:cs="Times New Roman"/>
                <w:b w:val="0"/>
                <w:bCs w:val="0"/>
                <w:color w:val="auto"/>
                <w:sz w:val="24"/>
                <w:szCs w:val="24"/>
                <w:highlight w:val="none"/>
                <w:vertAlign w:val="baseline"/>
                <w:lang w:val="en-US" w:eastAsia="zh-CN"/>
              </w:rPr>
              <w:t>台，</w:t>
            </w:r>
            <w:r>
              <w:rPr>
                <w:rFonts w:hint="eastAsia" w:cs="Times New Roman"/>
                <w:b w:val="0"/>
                <w:bCs w:val="0"/>
                <w:color w:val="auto"/>
                <w:sz w:val="24"/>
                <w:szCs w:val="24"/>
                <w:highlight w:val="none"/>
                <w:vertAlign w:val="baseline"/>
                <w:lang w:val="en-US" w:eastAsia="zh-CN"/>
              </w:rPr>
              <w:t>建设单位拟在</w:t>
            </w:r>
            <w:r>
              <w:rPr>
                <w:rFonts w:hint="eastAsia" w:ascii="Times New Roman" w:hAnsi="Times New Roman" w:eastAsia="宋体" w:cs="Times New Roman"/>
                <w:b w:val="0"/>
                <w:bCs w:val="0"/>
                <w:color w:val="auto"/>
                <w:sz w:val="24"/>
                <w:szCs w:val="24"/>
                <w:highlight w:val="none"/>
                <w:vertAlign w:val="baseline"/>
                <w:lang w:val="en-US" w:eastAsia="zh-CN"/>
              </w:rPr>
              <w:t>每台设备上方设置矩形集气罩进行废气收集。参考《印刷工业污染防治可行技术指南》（HJ1089-2020）附录D印刷生产废气收集技术，顶吸罩的风量按下式计算</w:t>
            </w:r>
          </w:p>
          <w:p w14:paraId="14671A18">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jc w:val="center"/>
              <w:textAlignment w:val="auto"/>
              <w:rPr>
                <w:rFonts w:hint="eastAsia" w:ascii="Times New Roman" w:hAnsi="Times New Roman" w:eastAsia="宋体" w:cs="Times New Roman"/>
                <w:b w:val="0"/>
                <w:bCs w:val="0"/>
                <w:color w:val="auto"/>
                <w:sz w:val="24"/>
                <w:szCs w:val="24"/>
                <w:highlight w:val="none"/>
                <w:vertAlign w:val="baseline"/>
                <w:lang w:val="en-US" w:eastAsia="zh-CN"/>
              </w:rPr>
            </w:pPr>
            <w:r>
              <w:rPr>
                <w:rFonts w:hint="eastAsia" w:ascii="Times New Roman" w:hAnsi="Times New Roman" w:eastAsia="宋体" w:cs="Times New Roman"/>
                <w:b w:val="0"/>
                <w:bCs w:val="0"/>
                <w:color w:val="auto"/>
                <w:sz w:val="24"/>
                <w:szCs w:val="24"/>
                <w:highlight w:val="none"/>
                <w:vertAlign w:val="baseline"/>
                <w:lang w:val="en-US" w:eastAsia="zh-CN"/>
              </w:rPr>
              <w:t>L</w:t>
            </w:r>
            <w:r>
              <w:rPr>
                <w:rFonts w:hint="eastAsia" w:ascii="Times New Roman" w:hAnsi="Times New Roman" w:eastAsia="宋体" w:cs="Times New Roman"/>
                <w:b w:val="0"/>
                <w:bCs w:val="0"/>
                <w:color w:val="auto"/>
                <w:sz w:val="24"/>
                <w:szCs w:val="24"/>
                <w:highlight w:val="none"/>
                <w:vertAlign w:val="subscript"/>
                <w:lang w:val="en-US" w:eastAsia="zh-CN"/>
              </w:rPr>
              <w:t>1</w:t>
            </w:r>
            <w:r>
              <w:rPr>
                <w:rFonts w:hint="eastAsia" w:ascii="Times New Roman" w:hAnsi="Times New Roman" w:eastAsia="宋体" w:cs="Times New Roman"/>
                <w:b w:val="0"/>
                <w:bCs w:val="0"/>
                <w:color w:val="auto"/>
                <w:sz w:val="24"/>
                <w:szCs w:val="24"/>
                <w:highlight w:val="none"/>
                <w:vertAlign w:val="baseline"/>
                <w:lang w:val="en-US" w:eastAsia="zh-CN"/>
              </w:rPr>
              <w:t>=V</w:t>
            </w:r>
            <w:r>
              <w:rPr>
                <w:rFonts w:hint="eastAsia" w:ascii="Times New Roman" w:hAnsi="Times New Roman" w:eastAsia="宋体" w:cs="Times New Roman"/>
                <w:b w:val="0"/>
                <w:bCs w:val="0"/>
                <w:color w:val="auto"/>
                <w:sz w:val="24"/>
                <w:szCs w:val="24"/>
                <w:highlight w:val="none"/>
                <w:vertAlign w:val="subscript"/>
                <w:lang w:val="en-US" w:eastAsia="zh-CN"/>
              </w:rPr>
              <w:t>1</w:t>
            </w:r>
            <w:r>
              <w:rPr>
                <w:rFonts w:hint="eastAsia" w:ascii="Times New Roman" w:hAnsi="Times New Roman" w:eastAsia="宋体" w:cs="Times New Roman"/>
                <w:b w:val="0"/>
                <w:bCs w:val="0"/>
                <w:color w:val="auto"/>
                <w:sz w:val="24"/>
                <w:szCs w:val="24"/>
                <w:highlight w:val="none"/>
                <w:vertAlign w:val="baseline"/>
                <w:lang w:val="en-US" w:eastAsia="zh-CN"/>
              </w:rPr>
              <w:t>×F</w:t>
            </w:r>
            <w:r>
              <w:rPr>
                <w:rFonts w:hint="eastAsia" w:ascii="Times New Roman" w:hAnsi="Times New Roman" w:eastAsia="宋体" w:cs="Times New Roman"/>
                <w:b w:val="0"/>
                <w:bCs w:val="0"/>
                <w:color w:val="auto"/>
                <w:sz w:val="24"/>
                <w:szCs w:val="24"/>
                <w:highlight w:val="none"/>
                <w:vertAlign w:val="subscript"/>
                <w:lang w:val="en-US" w:eastAsia="zh-CN"/>
              </w:rPr>
              <w:t>1</w:t>
            </w:r>
            <w:r>
              <w:rPr>
                <w:rFonts w:hint="eastAsia" w:ascii="Times New Roman" w:hAnsi="Times New Roman" w:eastAsia="宋体" w:cs="Times New Roman"/>
                <w:b w:val="0"/>
                <w:bCs w:val="0"/>
                <w:color w:val="auto"/>
                <w:sz w:val="24"/>
                <w:szCs w:val="24"/>
                <w:highlight w:val="none"/>
                <w:vertAlign w:val="baseline"/>
                <w:lang w:val="en-US" w:eastAsia="zh-CN"/>
              </w:rPr>
              <w:t>×3600</w:t>
            </w:r>
          </w:p>
          <w:p w14:paraId="581BBCB6">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jc w:val="left"/>
              <w:textAlignment w:val="auto"/>
              <w:rPr>
                <w:rFonts w:hint="eastAsia" w:ascii="Times New Roman" w:hAnsi="Times New Roman" w:eastAsia="宋体" w:cs="Times New Roman"/>
                <w:b w:val="0"/>
                <w:bCs w:val="0"/>
                <w:color w:val="auto"/>
                <w:sz w:val="24"/>
                <w:szCs w:val="24"/>
                <w:highlight w:val="none"/>
                <w:vertAlign w:val="baseline"/>
                <w:lang w:val="en-US" w:eastAsia="zh-CN"/>
              </w:rPr>
            </w:pPr>
            <w:r>
              <w:rPr>
                <w:rFonts w:hint="eastAsia" w:ascii="Times New Roman" w:hAnsi="Times New Roman" w:eastAsia="宋体" w:cs="Times New Roman"/>
                <w:b w:val="0"/>
                <w:bCs w:val="0"/>
                <w:color w:val="auto"/>
                <w:sz w:val="24"/>
                <w:szCs w:val="24"/>
                <w:highlight w:val="none"/>
                <w:vertAlign w:val="baseline"/>
                <w:lang w:val="en-US" w:eastAsia="zh-CN"/>
              </w:rPr>
              <w:t>式中：L1——顶吸罩的计算风量，m</w:t>
            </w:r>
            <w:r>
              <w:rPr>
                <w:rFonts w:hint="eastAsia" w:ascii="Times New Roman" w:hAnsi="Times New Roman" w:eastAsia="宋体" w:cs="Times New Roman"/>
                <w:b w:val="0"/>
                <w:bCs w:val="0"/>
                <w:color w:val="auto"/>
                <w:sz w:val="24"/>
                <w:szCs w:val="24"/>
                <w:highlight w:val="none"/>
                <w:vertAlign w:val="superscript"/>
                <w:lang w:val="en-US" w:eastAsia="zh-CN"/>
              </w:rPr>
              <w:t>3</w:t>
            </w:r>
            <w:r>
              <w:rPr>
                <w:rFonts w:hint="eastAsia" w:ascii="Times New Roman" w:hAnsi="Times New Roman" w:eastAsia="宋体" w:cs="Times New Roman"/>
                <w:b w:val="0"/>
                <w:bCs w:val="0"/>
                <w:color w:val="auto"/>
                <w:sz w:val="24"/>
                <w:szCs w:val="24"/>
                <w:highlight w:val="none"/>
                <w:vertAlign w:val="baseline"/>
                <w:lang w:val="en-US" w:eastAsia="zh-CN"/>
              </w:rPr>
              <w:t>/h；</w:t>
            </w:r>
          </w:p>
          <w:p w14:paraId="5FA8EB45">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jc w:val="left"/>
              <w:textAlignment w:val="auto"/>
              <w:rPr>
                <w:rFonts w:hint="eastAsia" w:ascii="Times New Roman" w:hAnsi="Times New Roman" w:eastAsia="宋体" w:cs="Times New Roman"/>
                <w:b w:val="0"/>
                <w:bCs w:val="0"/>
                <w:color w:val="auto"/>
                <w:sz w:val="24"/>
                <w:szCs w:val="24"/>
                <w:highlight w:val="none"/>
                <w:vertAlign w:val="baseline"/>
                <w:lang w:val="en-US" w:eastAsia="zh-CN"/>
              </w:rPr>
            </w:pPr>
            <w:r>
              <w:rPr>
                <w:rFonts w:hint="eastAsia" w:ascii="Times New Roman" w:hAnsi="Times New Roman" w:eastAsia="宋体" w:cs="Times New Roman"/>
                <w:b w:val="0"/>
                <w:bCs w:val="0"/>
                <w:color w:val="auto"/>
                <w:sz w:val="24"/>
                <w:szCs w:val="24"/>
                <w:highlight w:val="none"/>
                <w:vertAlign w:val="baseline"/>
                <w:lang w:val="en-US" w:eastAsia="zh-CN"/>
              </w:rPr>
              <w:t xml:space="preserve">      V1——罩口平均风速，m/s。一般取0.5~1.25；</w:t>
            </w:r>
          </w:p>
          <w:p w14:paraId="2C4E87D1">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1262" w:firstLineChars="526"/>
              <w:jc w:val="both"/>
              <w:textAlignment w:val="auto"/>
              <w:rPr>
                <w:rFonts w:hint="eastAsia" w:ascii="Times New Roman" w:hAnsi="Times New Roman" w:eastAsia="宋体" w:cs="Times New Roman"/>
                <w:b w:val="0"/>
                <w:bCs w:val="0"/>
                <w:color w:val="auto"/>
                <w:sz w:val="24"/>
                <w:szCs w:val="24"/>
                <w:highlight w:val="none"/>
                <w:vertAlign w:val="superscript"/>
                <w:lang w:val="en-US" w:eastAsia="zh-CN"/>
              </w:rPr>
            </w:pPr>
            <w:r>
              <w:rPr>
                <w:rFonts w:hint="eastAsia" w:ascii="Times New Roman" w:hAnsi="Times New Roman" w:eastAsia="宋体" w:cs="Times New Roman"/>
                <w:b w:val="0"/>
                <w:bCs w:val="0"/>
                <w:color w:val="auto"/>
                <w:sz w:val="24"/>
                <w:szCs w:val="24"/>
                <w:highlight w:val="none"/>
                <w:vertAlign w:val="baseline"/>
                <w:lang w:val="en-US" w:eastAsia="zh-CN"/>
              </w:rPr>
              <w:t>F1——排放罩开口面面积，m</w:t>
            </w:r>
            <w:r>
              <w:rPr>
                <w:rFonts w:hint="eastAsia" w:ascii="Times New Roman" w:hAnsi="Times New Roman" w:eastAsia="宋体" w:cs="Times New Roman"/>
                <w:b w:val="0"/>
                <w:bCs w:val="0"/>
                <w:color w:val="auto"/>
                <w:sz w:val="24"/>
                <w:szCs w:val="24"/>
                <w:highlight w:val="none"/>
                <w:vertAlign w:val="superscript"/>
                <w:lang w:val="en-US" w:eastAsia="zh-CN"/>
              </w:rPr>
              <w:t>2</w:t>
            </w:r>
          </w:p>
          <w:p w14:paraId="2BBB8A77">
            <w:pPr>
              <w:jc w:val="center"/>
              <w:rPr>
                <w:rFonts w:hint="eastAsia" w:eastAsiaTheme="minorEastAsia"/>
                <w:color w:val="auto"/>
                <w:lang w:eastAsia="zh-CN"/>
              </w:rPr>
            </w:pPr>
            <w:r>
              <w:rPr>
                <w:rFonts w:hint="eastAsia"/>
                <w:color w:val="auto"/>
              </w:rPr>
              <w:t>表D.1罩口平均风速u取值表</w:t>
            </w:r>
            <w:r>
              <w:rPr>
                <w:rFonts w:hint="eastAsia"/>
                <w:color w:val="auto"/>
                <w:lang w:eastAsia="zh-CN"/>
              </w:rPr>
              <w:t>（</w:t>
            </w:r>
            <w:r>
              <w:rPr>
                <w:rFonts w:hint="eastAsia"/>
                <w:color w:val="auto"/>
                <w:lang w:val="en-US" w:eastAsia="zh-CN"/>
              </w:rPr>
              <w:t>摘录</w:t>
            </w:r>
            <w:r>
              <w:rPr>
                <w:rFonts w:hint="eastAsia"/>
                <w:color w:val="auto"/>
                <w:lang w:eastAsia="zh-CN"/>
              </w:rPr>
              <w:t>）</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7"/>
              <w:gridCol w:w="1211"/>
              <w:gridCol w:w="1460"/>
              <w:gridCol w:w="1460"/>
              <w:gridCol w:w="1460"/>
            </w:tblGrid>
            <w:tr w14:paraId="76CD8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1707" w:type="dxa"/>
                </w:tcPr>
                <w:p w14:paraId="38EDAF63">
                  <w:pPr>
                    <w:jc w:val="center"/>
                    <w:rPr>
                      <w:color w:val="auto"/>
                      <w:vertAlign w:val="baseline"/>
                    </w:rPr>
                  </w:pPr>
                  <w:r>
                    <w:rPr>
                      <w:rFonts w:hint="eastAsia"/>
                      <w:color w:val="auto"/>
                    </w:rPr>
                    <w:t>顶吸罩敞开情况</w:t>
                  </w:r>
                </w:p>
              </w:tc>
              <w:tc>
                <w:tcPr>
                  <w:tcW w:w="1211" w:type="dxa"/>
                  <w:vAlign w:val="top"/>
                </w:tcPr>
                <w:p w14:paraId="191C6632">
                  <w:pPr>
                    <w:jc w:val="center"/>
                    <w:rPr>
                      <w:color w:val="auto"/>
                      <w:vertAlign w:val="baseline"/>
                    </w:rPr>
                  </w:pPr>
                  <w:r>
                    <w:rPr>
                      <w:rFonts w:hint="eastAsia"/>
                      <w:color w:val="auto"/>
                    </w:rPr>
                    <w:t>一边敞开</w:t>
                  </w:r>
                </w:p>
              </w:tc>
              <w:tc>
                <w:tcPr>
                  <w:tcW w:w="1460" w:type="dxa"/>
                  <w:vAlign w:val="top"/>
                </w:tcPr>
                <w:p w14:paraId="71745BCB">
                  <w:pPr>
                    <w:jc w:val="center"/>
                    <w:rPr>
                      <w:color w:val="auto"/>
                      <w:vertAlign w:val="baseline"/>
                    </w:rPr>
                  </w:pPr>
                  <w:r>
                    <w:rPr>
                      <w:rFonts w:hint="eastAsia"/>
                      <w:color w:val="auto"/>
                    </w:rPr>
                    <w:t>两边散开</w:t>
                  </w:r>
                </w:p>
              </w:tc>
              <w:tc>
                <w:tcPr>
                  <w:tcW w:w="1460" w:type="dxa"/>
                  <w:vAlign w:val="top"/>
                </w:tcPr>
                <w:p w14:paraId="1CECBCAC">
                  <w:pPr>
                    <w:jc w:val="center"/>
                    <w:rPr>
                      <w:color w:val="auto"/>
                      <w:vertAlign w:val="baseline"/>
                    </w:rPr>
                  </w:pPr>
                  <w:r>
                    <w:rPr>
                      <w:rFonts w:hint="eastAsia"/>
                      <w:color w:val="auto"/>
                    </w:rPr>
                    <w:t>三边敞开</w:t>
                  </w:r>
                </w:p>
              </w:tc>
              <w:tc>
                <w:tcPr>
                  <w:tcW w:w="1460" w:type="dxa"/>
                  <w:vAlign w:val="top"/>
                </w:tcPr>
                <w:p w14:paraId="562F32CD">
                  <w:pPr>
                    <w:jc w:val="center"/>
                    <w:rPr>
                      <w:color w:val="auto"/>
                      <w:vertAlign w:val="baseline"/>
                    </w:rPr>
                  </w:pPr>
                  <w:r>
                    <w:rPr>
                      <w:rFonts w:hint="eastAsia"/>
                      <w:color w:val="auto"/>
                    </w:rPr>
                    <w:t>四边敞开</w:t>
                  </w:r>
                </w:p>
              </w:tc>
            </w:tr>
            <w:tr w14:paraId="4DECF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jc w:val="center"/>
              </w:trPr>
              <w:tc>
                <w:tcPr>
                  <w:tcW w:w="1707" w:type="dxa"/>
                </w:tcPr>
                <w:p w14:paraId="4386CA74">
                  <w:pPr>
                    <w:jc w:val="center"/>
                    <w:rPr>
                      <w:color w:val="auto"/>
                      <w:vertAlign w:val="baseline"/>
                    </w:rPr>
                  </w:pPr>
                  <w:r>
                    <w:rPr>
                      <w:rFonts w:hint="eastAsia"/>
                      <w:color w:val="auto"/>
                    </w:rPr>
                    <w:t>v1</w:t>
                  </w:r>
                </w:p>
              </w:tc>
              <w:tc>
                <w:tcPr>
                  <w:tcW w:w="1211" w:type="dxa"/>
                  <w:vAlign w:val="top"/>
                </w:tcPr>
                <w:p w14:paraId="4FC092CE">
                  <w:pPr>
                    <w:jc w:val="center"/>
                    <w:rPr>
                      <w:color w:val="auto"/>
                      <w:vertAlign w:val="baseline"/>
                    </w:rPr>
                  </w:pPr>
                  <w:r>
                    <w:rPr>
                      <w:rFonts w:hint="eastAsia"/>
                      <w:color w:val="auto"/>
                    </w:rPr>
                    <w:t>0.5-0.7</w:t>
                  </w:r>
                </w:p>
              </w:tc>
              <w:tc>
                <w:tcPr>
                  <w:tcW w:w="1460" w:type="dxa"/>
                  <w:vAlign w:val="top"/>
                </w:tcPr>
                <w:p w14:paraId="0E62D6AB">
                  <w:pPr>
                    <w:jc w:val="center"/>
                    <w:rPr>
                      <w:color w:val="auto"/>
                      <w:vertAlign w:val="baseline"/>
                    </w:rPr>
                  </w:pPr>
                  <w:r>
                    <w:rPr>
                      <w:rFonts w:hint="eastAsia"/>
                      <w:color w:val="auto"/>
                    </w:rPr>
                    <w:t>0.75-0.9</w:t>
                  </w:r>
                </w:p>
              </w:tc>
              <w:tc>
                <w:tcPr>
                  <w:tcW w:w="1460" w:type="dxa"/>
                  <w:vAlign w:val="top"/>
                </w:tcPr>
                <w:p w14:paraId="67D7D12E">
                  <w:pPr>
                    <w:jc w:val="center"/>
                    <w:rPr>
                      <w:color w:val="auto"/>
                      <w:vertAlign w:val="baseline"/>
                    </w:rPr>
                  </w:pPr>
                  <w:r>
                    <w:rPr>
                      <w:rFonts w:hint="eastAsia"/>
                      <w:color w:val="auto"/>
                    </w:rPr>
                    <w:t>0.9-1.05</w:t>
                  </w:r>
                </w:p>
              </w:tc>
              <w:tc>
                <w:tcPr>
                  <w:tcW w:w="1460" w:type="dxa"/>
                  <w:vAlign w:val="top"/>
                </w:tcPr>
                <w:p w14:paraId="13DC183A">
                  <w:pPr>
                    <w:jc w:val="center"/>
                    <w:rPr>
                      <w:color w:val="auto"/>
                      <w:vertAlign w:val="baseline"/>
                    </w:rPr>
                  </w:pPr>
                  <w:r>
                    <w:rPr>
                      <w:rFonts w:hint="eastAsia"/>
                      <w:color w:val="auto"/>
                    </w:rPr>
                    <w:t>1.05~1.25</w:t>
                  </w:r>
                </w:p>
              </w:tc>
            </w:tr>
          </w:tbl>
          <w:p w14:paraId="5D0A5187">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32"/>
                <w:highlight w:val="none"/>
                <w:vertAlign w:val="baseline"/>
                <w:lang w:val="en-US" w:eastAsia="zh-CN"/>
              </w:rPr>
            </w:pPr>
            <w:r>
              <w:rPr>
                <w:rFonts w:hint="eastAsia" w:ascii="Times New Roman" w:hAnsi="Times New Roman" w:eastAsia="宋体" w:cs="Times New Roman"/>
                <w:color w:val="auto"/>
                <w:sz w:val="24"/>
                <w:szCs w:val="32"/>
                <w:highlight w:val="none"/>
                <w:lang w:val="en-US" w:eastAsia="zh-CN"/>
              </w:rPr>
              <w:t>本项目顶吸罩为四边敞开，罩口平均风速保守取1.05m/s。集气罩口面尺寸为0.</w:t>
            </w:r>
            <w:r>
              <w:rPr>
                <w:rFonts w:hint="eastAsia" w:cs="Times New Roman"/>
                <w:color w:val="auto"/>
                <w:sz w:val="24"/>
                <w:szCs w:val="32"/>
                <w:highlight w:val="none"/>
                <w:lang w:val="en-US" w:eastAsia="zh-CN"/>
              </w:rPr>
              <w:t>5</w:t>
            </w:r>
            <w:r>
              <w:rPr>
                <w:rFonts w:hint="eastAsia" w:ascii="Times New Roman" w:hAnsi="Times New Roman" w:eastAsia="宋体" w:cs="Times New Roman"/>
                <w:color w:val="auto"/>
                <w:sz w:val="24"/>
                <w:szCs w:val="32"/>
                <w:highlight w:val="none"/>
                <w:lang w:val="en-US" w:eastAsia="zh-CN"/>
              </w:rPr>
              <w:t>m×0.</w:t>
            </w:r>
            <w:r>
              <w:rPr>
                <w:rFonts w:hint="eastAsia" w:cs="Times New Roman"/>
                <w:color w:val="auto"/>
                <w:sz w:val="24"/>
                <w:szCs w:val="32"/>
                <w:highlight w:val="none"/>
                <w:lang w:val="en-US" w:eastAsia="zh-CN"/>
              </w:rPr>
              <w:t>5</w:t>
            </w:r>
            <w:r>
              <w:rPr>
                <w:rFonts w:hint="eastAsia" w:ascii="Times New Roman" w:hAnsi="Times New Roman" w:eastAsia="宋体" w:cs="Times New Roman"/>
                <w:color w:val="auto"/>
                <w:sz w:val="24"/>
                <w:szCs w:val="32"/>
                <w:highlight w:val="none"/>
                <w:lang w:val="en-US" w:eastAsia="zh-CN"/>
              </w:rPr>
              <w:t>m，可算得1台</w:t>
            </w:r>
            <w:r>
              <w:rPr>
                <w:rFonts w:hint="eastAsia" w:cs="Times New Roman"/>
                <w:color w:val="auto"/>
                <w:sz w:val="24"/>
                <w:szCs w:val="32"/>
                <w:highlight w:val="none"/>
                <w:lang w:val="en-US" w:eastAsia="zh-CN"/>
              </w:rPr>
              <w:t>机器</w:t>
            </w:r>
            <w:r>
              <w:rPr>
                <w:rFonts w:hint="eastAsia" w:ascii="Times New Roman" w:hAnsi="Times New Roman" w:eastAsia="宋体" w:cs="Times New Roman"/>
                <w:color w:val="auto"/>
                <w:sz w:val="24"/>
                <w:szCs w:val="32"/>
                <w:highlight w:val="none"/>
                <w:lang w:val="en-US" w:eastAsia="zh-CN"/>
              </w:rPr>
              <w:t>所需风量=1.05m/s×0.</w:t>
            </w:r>
            <w:r>
              <w:rPr>
                <w:rFonts w:hint="eastAsia" w:cs="Times New Roman"/>
                <w:color w:val="auto"/>
                <w:sz w:val="24"/>
                <w:szCs w:val="32"/>
                <w:highlight w:val="none"/>
                <w:lang w:val="en-US" w:eastAsia="zh-CN"/>
              </w:rPr>
              <w:t>25</w:t>
            </w:r>
            <w:r>
              <w:rPr>
                <w:rFonts w:hint="eastAsia" w:ascii="Times New Roman" w:hAnsi="Times New Roman" w:eastAsia="宋体" w:cs="Times New Roman"/>
                <w:color w:val="auto"/>
                <w:sz w:val="24"/>
                <w:szCs w:val="32"/>
                <w:highlight w:val="none"/>
                <w:lang w:val="en-US" w:eastAsia="zh-CN"/>
              </w:rPr>
              <w:t>m</w:t>
            </w:r>
            <w:r>
              <w:rPr>
                <w:rFonts w:hint="eastAsia" w:ascii="Times New Roman" w:hAnsi="Times New Roman" w:eastAsia="宋体" w:cs="Times New Roman"/>
                <w:color w:val="auto"/>
                <w:sz w:val="24"/>
                <w:szCs w:val="32"/>
                <w:highlight w:val="none"/>
                <w:vertAlign w:val="superscript"/>
                <w:lang w:val="en-US" w:eastAsia="zh-CN"/>
              </w:rPr>
              <w:t>2</w:t>
            </w:r>
            <w:r>
              <w:rPr>
                <w:rFonts w:hint="eastAsia" w:ascii="Times New Roman" w:hAnsi="Times New Roman" w:eastAsia="宋体" w:cs="Times New Roman"/>
                <w:color w:val="auto"/>
                <w:sz w:val="24"/>
                <w:szCs w:val="32"/>
                <w:highlight w:val="none"/>
                <w:vertAlign w:val="baseline"/>
                <w:lang w:val="en-US" w:eastAsia="zh-CN"/>
              </w:rPr>
              <w:t>×3600=</w:t>
            </w:r>
            <w:r>
              <w:rPr>
                <w:rFonts w:hint="eastAsia" w:cs="Times New Roman"/>
                <w:color w:val="auto"/>
                <w:sz w:val="24"/>
                <w:szCs w:val="32"/>
                <w:highlight w:val="none"/>
                <w:vertAlign w:val="baseline"/>
                <w:lang w:val="en-US" w:eastAsia="zh-CN"/>
              </w:rPr>
              <w:t>945</w:t>
            </w:r>
            <w:r>
              <w:rPr>
                <w:rFonts w:hint="eastAsia" w:ascii="Times New Roman" w:hAnsi="Times New Roman" w:eastAsia="宋体" w:cs="Times New Roman"/>
                <w:color w:val="auto"/>
                <w:sz w:val="24"/>
                <w:szCs w:val="32"/>
                <w:highlight w:val="none"/>
                <w:vertAlign w:val="baseline"/>
                <w:lang w:val="en-US" w:eastAsia="zh-CN"/>
              </w:rPr>
              <w:t>m</w:t>
            </w:r>
            <w:r>
              <w:rPr>
                <w:rFonts w:hint="eastAsia" w:ascii="Times New Roman" w:hAnsi="Times New Roman" w:eastAsia="宋体" w:cs="Times New Roman"/>
                <w:color w:val="auto"/>
                <w:sz w:val="24"/>
                <w:szCs w:val="32"/>
                <w:highlight w:val="none"/>
                <w:vertAlign w:val="superscript"/>
                <w:lang w:val="en-US" w:eastAsia="zh-CN"/>
              </w:rPr>
              <w:t>3</w:t>
            </w:r>
            <w:r>
              <w:rPr>
                <w:rFonts w:hint="eastAsia" w:ascii="Times New Roman" w:hAnsi="Times New Roman" w:eastAsia="宋体" w:cs="Times New Roman"/>
                <w:color w:val="auto"/>
                <w:sz w:val="24"/>
                <w:szCs w:val="32"/>
                <w:highlight w:val="none"/>
                <w:vertAlign w:val="baseline"/>
                <w:lang w:val="en-US" w:eastAsia="zh-CN"/>
              </w:rPr>
              <w:t>/h，</w:t>
            </w:r>
            <w:r>
              <w:rPr>
                <w:rFonts w:hint="eastAsia" w:cs="Times New Roman"/>
                <w:color w:val="auto"/>
                <w:sz w:val="24"/>
                <w:szCs w:val="32"/>
                <w:highlight w:val="none"/>
                <w:vertAlign w:val="baseline"/>
                <w:lang w:val="en-US" w:eastAsia="zh-CN"/>
              </w:rPr>
              <w:t>7个集气罩</w:t>
            </w:r>
            <w:r>
              <w:rPr>
                <w:rFonts w:hint="eastAsia" w:ascii="Times New Roman" w:hAnsi="Times New Roman" w:eastAsia="宋体" w:cs="Times New Roman"/>
                <w:color w:val="auto"/>
                <w:sz w:val="24"/>
                <w:szCs w:val="32"/>
                <w:highlight w:val="none"/>
                <w:vertAlign w:val="baseline"/>
                <w:lang w:val="en-US" w:eastAsia="zh-CN"/>
              </w:rPr>
              <w:t>所需风量为</w:t>
            </w:r>
            <w:r>
              <w:rPr>
                <w:rFonts w:hint="eastAsia" w:cs="Times New Roman"/>
                <w:color w:val="auto"/>
                <w:sz w:val="24"/>
                <w:szCs w:val="32"/>
                <w:highlight w:val="none"/>
                <w:vertAlign w:val="baseline"/>
                <w:lang w:val="en-US" w:eastAsia="zh-CN"/>
              </w:rPr>
              <w:t>6615</w:t>
            </w:r>
            <w:r>
              <w:rPr>
                <w:rFonts w:hint="eastAsia" w:ascii="Times New Roman" w:hAnsi="Times New Roman" w:eastAsia="宋体" w:cs="Times New Roman"/>
                <w:color w:val="auto"/>
                <w:sz w:val="24"/>
                <w:szCs w:val="32"/>
                <w:highlight w:val="none"/>
                <w:vertAlign w:val="baseline"/>
                <w:lang w:val="en-US" w:eastAsia="zh-CN"/>
              </w:rPr>
              <w:t>m</w:t>
            </w:r>
            <w:r>
              <w:rPr>
                <w:rFonts w:hint="eastAsia" w:ascii="Times New Roman" w:hAnsi="Times New Roman" w:eastAsia="宋体" w:cs="Times New Roman"/>
                <w:color w:val="auto"/>
                <w:sz w:val="24"/>
                <w:szCs w:val="32"/>
                <w:highlight w:val="none"/>
                <w:vertAlign w:val="superscript"/>
                <w:lang w:val="en-US" w:eastAsia="zh-CN"/>
              </w:rPr>
              <w:t>3</w:t>
            </w:r>
            <w:r>
              <w:rPr>
                <w:rFonts w:hint="eastAsia" w:ascii="Times New Roman" w:hAnsi="Times New Roman" w:eastAsia="宋体" w:cs="Times New Roman"/>
                <w:color w:val="auto"/>
                <w:sz w:val="24"/>
                <w:szCs w:val="32"/>
                <w:highlight w:val="none"/>
                <w:vertAlign w:val="baseline"/>
                <w:lang w:val="en-US" w:eastAsia="zh-CN"/>
              </w:rPr>
              <w:t>/h。考虑到风阻等损失，根据《关于印发〈阳江市涉VOCs企业活性炭智慧监管工作方案（试行）〉的通知》（阳环办函〔2025〕376号），风机风量宜按照废气的最大排放量的120%以上设计</w:t>
            </w:r>
            <w:r>
              <w:rPr>
                <w:rFonts w:hint="eastAsia" w:cs="Times New Roman"/>
                <w:color w:val="auto"/>
                <w:sz w:val="24"/>
                <w:szCs w:val="32"/>
                <w:highlight w:val="none"/>
                <w:vertAlign w:val="baseline"/>
                <w:lang w:val="en-US" w:eastAsia="zh-CN"/>
              </w:rPr>
              <w:t>，</w:t>
            </w:r>
            <w:r>
              <w:rPr>
                <w:rFonts w:hint="eastAsia" w:ascii="Times New Roman" w:hAnsi="Times New Roman" w:eastAsia="宋体" w:cs="Times New Roman"/>
                <w:color w:val="auto"/>
                <w:sz w:val="24"/>
                <w:szCs w:val="32"/>
                <w:highlight w:val="none"/>
                <w:vertAlign w:val="baseline"/>
                <w:lang w:val="en-US" w:eastAsia="zh-CN"/>
              </w:rPr>
              <w:t>建设单位设计处理风量为8000m</w:t>
            </w:r>
            <w:r>
              <w:rPr>
                <w:rFonts w:hint="eastAsia" w:ascii="Times New Roman" w:hAnsi="Times New Roman" w:eastAsia="宋体" w:cs="Times New Roman"/>
                <w:color w:val="auto"/>
                <w:sz w:val="24"/>
                <w:szCs w:val="32"/>
                <w:highlight w:val="none"/>
                <w:vertAlign w:val="superscript"/>
                <w:lang w:val="en-US" w:eastAsia="zh-CN"/>
              </w:rPr>
              <w:t>3</w:t>
            </w:r>
            <w:r>
              <w:rPr>
                <w:rFonts w:hint="eastAsia" w:ascii="Times New Roman" w:hAnsi="Times New Roman" w:eastAsia="宋体" w:cs="Times New Roman"/>
                <w:color w:val="auto"/>
                <w:sz w:val="24"/>
                <w:szCs w:val="32"/>
                <w:highlight w:val="none"/>
                <w:vertAlign w:val="baseline"/>
                <w:lang w:val="en-US" w:eastAsia="zh-CN"/>
              </w:rPr>
              <w:t>/h ，确保产生的有机废气得到有效收集。</w:t>
            </w:r>
          </w:p>
          <w:p w14:paraId="1633840A">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③</w:t>
            </w:r>
            <w:r>
              <w:rPr>
                <w:rFonts w:hint="eastAsia" w:ascii="Times New Roman" w:hAnsi="Times New Roman" w:eastAsia="宋体" w:cs="Times New Roman"/>
                <w:color w:val="auto"/>
                <w:sz w:val="24"/>
                <w:szCs w:val="32"/>
                <w:highlight w:val="none"/>
                <w:lang w:val="en-US" w:eastAsia="zh-CN"/>
              </w:rPr>
              <w:t>收集效率</w:t>
            </w:r>
          </w:p>
          <w:p w14:paraId="386D034F">
            <w:pPr>
              <w:pStyle w:val="81"/>
              <w:keepNext w:val="0"/>
              <w:keepLines w:val="0"/>
              <w:pageBreakBefore w:val="0"/>
              <w:widowControl w:val="0"/>
              <w:suppressLineNumbers w:val="0"/>
              <w:kinsoku/>
              <w:wordWrap/>
              <w:overflowPunct/>
              <w:topLinePunct w:val="0"/>
              <w:autoSpaceDE/>
              <w:autoSpaceDN/>
              <w:bidi w:val="0"/>
              <w:adjustRightInd w:val="0"/>
              <w:snapToGrid/>
              <w:spacing w:beforeAutospacing="0" w:afterAutospacing="0" w:line="360" w:lineRule="auto"/>
              <w:ind w:left="0" w:leftChars="0" w:right="0" w:firstLine="480" w:firstLineChars="200"/>
              <w:textAlignment w:val="baseline"/>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color w:val="auto"/>
                <w:sz w:val="24"/>
                <w:highlight w:val="none"/>
                <w:vertAlign w:val="baseline"/>
                <w:lang w:val="en-US" w:eastAsia="zh-CN"/>
              </w:rPr>
              <w:t>根据《广东省生态环境厅关于印发工业源挥发性有机物和氮氧化物减排量核算方法的通知》（粤环办[2023]538号），建设单位拟对</w:t>
            </w:r>
            <w:r>
              <w:rPr>
                <w:rFonts w:hint="eastAsia" w:ascii="Times New Roman" w:eastAsia="宋体" w:cs="Times New Roman"/>
                <w:color w:val="auto"/>
                <w:sz w:val="24"/>
                <w:highlight w:val="none"/>
                <w:vertAlign w:val="baseline"/>
                <w:lang w:val="en-US" w:eastAsia="zh-CN"/>
              </w:rPr>
              <w:t>印刷车间</w:t>
            </w:r>
            <w:r>
              <w:rPr>
                <w:rFonts w:hint="default" w:ascii="Times New Roman" w:hAnsi="Times New Roman" w:eastAsia="宋体" w:cs="Times New Roman"/>
                <w:color w:val="auto"/>
                <w:sz w:val="24"/>
                <w:highlight w:val="none"/>
                <w:vertAlign w:val="baseline"/>
                <w:lang w:val="en-US" w:eastAsia="zh-CN"/>
              </w:rPr>
              <w:t>窗户全部密封、除人员、车辆、设备、物料进出时，门窗随时保持关闭状态，将</w:t>
            </w:r>
            <w:r>
              <w:rPr>
                <w:rFonts w:hint="eastAsia" w:ascii="Times New Roman" w:eastAsia="宋体" w:cs="Times New Roman"/>
                <w:color w:val="auto"/>
                <w:sz w:val="24"/>
                <w:highlight w:val="none"/>
                <w:vertAlign w:val="baseline"/>
                <w:lang w:val="en-US" w:eastAsia="zh-CN"/>
              </w:rPr>
              <w:t>印刷车间</w:t>
            </w:r>
            <w:r>
              <w:rPr>
                <w:rFonts w:hint="default" w:ascii="Times New Roman" w:hAnsi="Times New Roman" w:eastAsia="宋体" w:cs="Times New Roman"/>
                <w:color w:val="auto"/>
                <w:sz w:val="24"/>
                <w:highlight w:val="none"/>
                <w:vertAlign w:val="baseline"/>
                <w:lang w:val="en-US" w:eastAsia="zh-CN"/>
              </w:rPr>
              <w:t>设置为密闭</w:t>
            </w:r>
            <w:r>
              <w:rPr>
                <w:rFonts w:hint="eastAsia" w:ascii="Times New Roman" w:eastAsia="宋体" w:cs="Times New Roman"/>
                <w:color w:val="auto"/>
                <w:sz w:val="24"/>
                <w:highlight w:val="none"/>
                <w:vertAlign w:val="baseline"/>
                <w:lang w:val="en-US" w:eastAsia="zh-CN"/>
              </w:rPr>
              <w:t>负</w:t>
            </w:r>
            <w:r>
              <w:rPr>
                <w:rFonts w:hint="default" w:ascii="Times New Roman" w:hAnsi="Times New Roman" w:eastAsia="宋体" w:cs="Times New Roman"/>
                <w:color w:val="auto"/>
                <w:sz w:val="24"/>
                <w:highlight w:val="none"/>
                <w:vertAlign w:val="baseline"/>
                <w:lang w:val="en-US" w:eastAsia="zh-CN"/>
              </w:rPr>
              <w:t>压车间，并在对调墨、润版、印刷、油墨清洗</w:t>
            </w:r>
            <w:r>
              <w:rPr>
                <w:rFonts w:hint="eastAsia" w:ascii="Times New Roman" w:eastAsia="宋体" w:cs="Times New Roman"/>
                <w:color w:val="auto"/>
                <w:sz w:val="24"/>
                <w:highlight w:val="none"/>
                <w:vertAlign w:val="baseline"/>
                <w:lang w:val="en-US" w:eastAsia="zh-CN"/>
              </w:rPr>
              <w:t>工艺</w:t>
            </w:r>
            <w:r>
              <w:rPr>
                <w:rFonts w:hint="default" w:ascii="Times New Roman" w:hAnsi="Times New Roman" w:eastAsia="宋体" w:cs="Times New Roman"/>
                <w:color w:val="auto"/>
                <w:sz w:val="24"/>
                <w:highlight w:val="none"/>
                <w:vertAlign w:val="baseline"/>
                <w:lang w:val="en-US" w:eastAsia="zh-CN"/>
              </w:rPr>
              <w:t>上方设集气罩进行收集处理。废气治理设施收集效率参考《广东省生态环境厅关于印发工业源挥发性有机物和氮氧化物减排量核算方法的通知》（粤环函〔2023〕538号）中表3.3-2废气收集集气效率参考值，单层密闭</w:t>
            </w:r>
            <w:r>
              <w:rPr>
                <w:rFonts w:hint="eastAsia" w:ascii="Times New Roman" w:eastAsia="宋体" w:cs="Times New Roman"/>
                <w:color w:val="auto"/>
                <w:sz w:val="24"/>
                <w:highlight w:val="none"/>
                <w:vertAlign w:val="baseline"/>
                <w:lang w:val="en-US" w:eastAsia="zh-CN"/>
              </w:rPr>
              <w:t>负</w:t>
            </w:r>
            <w:r>
              <w:rPr>
                <w:rFonts w:hint="default" w:ascii="Times New Roman" w:hAnsi="Times New Roman" w:eastAsia="宋体" w:cs="Times New Roman"/>
                <w:color w:val="auto"/>
                <w:sz w:val="24"/>
                <w:highlight w:val="none"/>
                <w:vertAlign w:val="baseline"/>
                <w:lang w:val="en-US" w:eastAsia="zh-CN"/>
              </w:rPr>
              <w:t>压“VOCs产生源设置在密闭车间、密闭设备（含反应釜）、密闭管道内，所有开口处，包括人员或物料进出口处呈负压”，其集气效率为</w:t>
            </w:r>
            <w:r>
              <w:rPr>
                <w:rFonts w:hint="eastAsia" w:ascii="Times New Roman" w:eastAsia="宋体" w:cs="Times New Roman"/>
                <w:color w:val="auto"/>
                <w:sz w:val="24"/>
                <w:highlight w:val="none"/>
                <w:vertAlign w:val="baseline"/>
                <w:lang w:val="en-US" w:eastAsia="zh-CN"/>
              </w:rPr>
              <w:t>9</w:t>
            </w:r>
            <w:r>
              <w:rPr>
                <w:rFonts w:hint="default" w:ascii="Times New Roman" w:hAnsi="Times New Roman" w:eastAsia="宋体" w:cs="Times New Roman"/>
                <w:color w:val="auto"/>
                <w:sz w:val="24"/>
                <w:highlight w:val="none"/>
                <w:vertAlign w:val="baseline"/>
                <w:lang w:val="en-US" w:eastAsia="zh-CN"/>
              </w:rPr>
              <w:t>0%，</w:t>
            </w:r>
            <w:r>
              <w:rPr>
                <w:rFonts w:hint="eastAsia" w:ascii="Times New Roman" w:eastAsia="宋体" w:cs="Times New Roman"/>
                <w:color w:val="auto"/>
                <w:sz w:val="24"/>
                <w:highlight w:val="none"/>
                <w:vertAlign w:val="baseline"/>
                <w:lang w:val="en-US" w:eastAsia="zh-CN"/>
              </w:rPr>
              <w:t>保守估计</w:t>
            </w:r>
            <w:r>
              <w:rPr>
                <w:rFonts w:hint="default" w:ascii="Times New Roman" w:hAnsi="Times New Roman" w:eastAsia="宋体" w:cs="Times New Roman"/>
                <w:color w:val="auto"/>
                <w:sz w:val="24"/>
                <w:highlight w:val="none"/>
                <w:vertAlign w:val="baseline"/>
                <w:lang w:val="en-US" w:eastAsia="zh-CN"/>
              </w:rPr>
              <w:t>项目</w:t>
            </w:r>
            <w:r>
              <w:rPr>
                <w:rFonts w:hint="eastAsia" w:ascii="Times New Roman" w:eastAsia="宋体" w:cs="Times New Roman"/>
                <w:color w:val="auto"/>
                <w:sz w:val="24"/>
                <w:highlight w:val="none"/>
                <w:vertAlign w:val="baseline"/>
                <w:lang w:val="en-US" w:eastAsia="zh-CN"/>
              </w:rPr>
              <w:t>印刷过程</w:t>
            </w:r>
            <w:r>
              <w:rPr>
                <w:rFonts w:hint="default" w:ascii="Times New Roman" w:hAnsi="Times New Roman" w:eastAsia="宋体" w:cs="Times New Roman"/>
                <w:color w:val="auto"/>
                <w:sz w:val="24"/>
                <w:highlight w:val="none"/>
                <w:vertAlign w:val="baseline"/>
                <w:lang w:val="en-US" w:eastAsia="zh-CN"/>
              </w:rPr>
              <w:t>废气收集效率本评价取80%。项目</w:t>
            </w:r>
            <w:r>
              <w:rPr>
                <w:rFonts w:hint="eastAsia" w:ascii="Times New Roman" w:eastAsia="宋体" w:cs="Times New Roman"/>
                <w:color w:val="auto"/>
                <w:sz w:val="24"/>
                <w:highlight w:val="none"/>
                <w:vertAlign w:val="baseline"/>
                <w:lang w:val="en-US" w:eastAsia="zh-CN"/>
              </w:rPr>
              <w:t>过油</w:t>
            </w:r>
            <w:r>
              <w:rPr>
                <w:rFonts w:hint="default" w:ascii="Times New Roman" w:hAnsi="Times New Roman" w:eastAsia="宋体" w:cs="Times New Roman"/>
                <w:color w:val="auto"/>
                <w:sz w:val="24"/>
                <w:highlight w:val="none"/>
                <w:vertAlign w:val="baseline"/>
                <w:lang w:val="en-US" w:eastAsia="zh-CN"/>
              </w:rPr>
              <w:t>废气收集</w:t>
            </w:r>
            <w:r>
              <w:rPr>
                <w:rFonts w:hint="eastAsia" w:ascii="Times New Roman" w:eastAsia="宋体" w:cs="Times New Roman"/>
                <w:color w:val="auto"/>
                <w:sz w:val="24"/>
                <w:highlight w:val="none"/>
                <w:vertAlign w:val="baseline"/>
                <w:lang w:val="en-US" w:eastAsia="zh-CN"/>
              </w:rPr>
              <w:t>方式为外部型集气设备，集气</w:t>
            </w:r>
            <w:r>
              <w:rPr>
                <w:rFonts w:hint="default" w:ascii="Times New Roman" w:hAnsi="Times New Roman" w:eastAsia="宋体" w:cs="Times New Roman"/>
                <w:color w:val="auto"/>
                <w:sz w:val="24"/>
                <w:highlight w:val="none"/>
                <w:vertAlign w:val="baseline"/>
                <w:lang w:val="en-US" w:eastAsia="zh-CN"/>
              </w:rPr>
              <w:t>效率为30%。</w:t>
            </w:r>
          </w:p>
          <w:p w14:paraId="5CF5E66F">
            <w:pPr>
              <w:keepNext w:val="0"/>
              <w:keepLines w:val="0"/>
              <w:widowControl w:val="0"/>
              <w:suppressLineNumbers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表</w:t>
            </w:r>
            <w:r>
              <w:rPr>
                <w:rFonts w:hint="eastAsia" w:cs="Times New Roman"/>
                <w:b/>
                <w:bCs/>
                <w:color w:val="auto"/>
                <w:kern w:val="0"/>
                <w:sz w:val="21"/>
                <w:szCs w:val="21"/>
                <w:highlight w:val="none"/>
                <w:lang w:val="en-US" w:eastAsia="zh-CN" w:bidi="ar"/>
              </w:rPr>
              <w:t>4-2</w:t>
            </w:r>
            <w:r>
              <w:rPr>
                <w:rFonts w:hint="default" w:ascii="Times New Roman" w:hAnsi="Times New Roman" w:eastAsia="宋体" w:cs="Times New Roman"/>
                <w:b/>
                <w:bCs/>
                <w:color w:val="auto"/>
                <w:kern w:val="0"/>
                <w:sz w:val="21"/>
                <w:szCs w:val="21"/>
                <w:highlight w:val="none"/>
                <w:lang w:val="en-US" w:eastAsia="zh-CN" w:bidi="ar"/>
              </w:rPr>
              <w:t>《广东省工业源挥发性有机物减排量核算方法（2023年修订版）》</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9"/>
              <w:gridCol w:w="2211"/>
              <w:gridCol w:w="3980"/>
              <w:gridCol w:w="811"/>
            </w:tblGrid>
            <w:tr w14:paraId="660AF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869" w:type="dxa"/>
                  <w:tcBorders>
                    <w:top w:val="single" w:color="auto" w:sz="4" w:space="0"/>
                    <w:left w:val="single" w:color="auto" w:sz="4" w:space="0"/>
                    <w:bottom w:val="single" w:color="auto" w:sz="4" w:space="0"/>
                    <w:right w:val="single" w:color="auto" w:sz="4" w:space="0"/>
                  </w:tcBorders>
                  <w:noWrap w:val="0"/>
                  <w:vAlign w:val="center"/>
                </w:tcPr>
                <w:p w14:paraId="0E99079F">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color w:val="auto"/>
                      <w:kern w:val="2"/>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废气收集类型</w:t>
                  </w:r>
                </w:p>
              </w:tc>
              <w:tc>
                <w:tcPr>
                  <w:tcW w:w="2211" w:type="dxa"/>
                  <w:tcBorders>
                    <w:top w:val="single" w:color="auto" w:sz="4" w:space="0"/>
                    <w:left w:val="nil"/>
                    <w:bottom w:val="single" w:color="auto" w:sz="4" w:space="0"/>
                    <w:right w:val="single" w:color="auto" w:sz="4" w:space="0"/>
                  </w:tcBorders>
                  <w:noWrap w:val="0"/>
                  <w:vAlign w:val="center"/>
                </w:tcPr>
                <w:p w14:paraId="4F76BA9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color w:val="auto"/>
                      <w:kern w:val="2"/>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废气收集方式</w:t>
                  </w:r>
                </w:p>
              </w:tc>
              <w:tc>
                <w:tcPr>
                  <w:tcW w:w="3980" w:type="dxa"/>
                  <w:tcBorders>
                    <w:top w:val="single" w:color="auto" w:sz="4" w:space="0"/>
                    <w:left w:val="nil"/>
                    <w:bottom w:val="single" w:color="auto" w:sz="4" w:space="0"/>
                    <w:right w:val="single" w:color="auto" w:sz="4" w:space="0"/>
                  </w:tcBorders>
                  <w:noWrap w:val="0"/>
                  <w:vAlign w:val="center"/>
                </w:tcPr>
                <w:p w14:paraId="0AB747D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color w:val="auto"/>
                      <w:kern w:val="2"/>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情况说明</w:t>
                  </w:r>
                </w:p>
              </w:tc>
              <w:tc>
                <w:tcPr>
                  <w:tcW w:w="811" w:type="dxa"/>
                  <w:tcBorders>
                    <w:top w:val="single" w:color="auto" w:sz="4" w:space="0"/>
                    <w:left w:val="nil"/>
                    <w:bottom w:val="single" w:color="auto" w:sz="4" w:space="0"/>
                    <w:right w:val="single" w:color="auto" w:sz="4" w:space="0"/>
                  </w:tcBorders>
                  <w:noWrap w:val="0"/>
                  <w:vAlign w:val="center"/>
                </w:tcPr>
                <w:p w14:paraId="7AE73EF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color w:val="auto"/>
                      <w:kern w:val="2"/>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集气效率（%）</w:t>
                  </w:r>
                </w:p>
              </w:tc>
            </w:tr>
            <w:tr w14:paraId="7E9CF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869" w:type="dxa"/>
                  <w:vMerge w:val="restart"/>
                  <w:tcBorders>
                    <w:top w:val="nil"/>
                    <w:left w:val="single" w:color="auto" w:sz="4" w:space="0"/>
                    <w:bottom w:val="single" w:color="auto" w:sz="4" w:space="0"/>
                    <w:right w:val="single" w:color="auto" w:sz="4" w:space="0"/>
                  </w:tcBorders>
                  <w:noWrap w:val="0"/>
                  <w:vAlign w:val="center"/>
                </w:tcPr>
                <w:p w14:paraId="54E8521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color w:val="auto"/>
                      <w:kern w:val="2"/>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全密封设备/空间</w:t>
                  </w:r>
                </w:p>
              </w:tc>
              <w:tc>
                <w:tcPr>
                  <w:tcW w:w="2211" w:type="dxa"/>
                  <w:tcBorders>
                    <w:top w:val="single" w:color="auto" w:sz="4" w:space="0"/>
                    <w:left w:val="nil"/>
                    <w:bottom w:val="single" w:color="auto" w:sz="4" w:space="0"/>
                    <w:right w:val="single" w:color="auto" w:sz="4" w:space="0"/>
                  </w:tcBorders>
                  <w:noWrap w:val="0"/>
                  <w:vAlign w:val="center"/>
                </w:tcPr>
                <w:p w14:paraId="12A54F1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color w:val="auto"/>
                      <w:kern w:val="2"/>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单层密闭负压</w:t>
                  </w:r>
                </w:p>
              </w:tc>
              <w:tc>
                <w:tcPr>
                  <w:tcW w:w="3980" w:type="dxa"/>
                  <w:tcBorders>
                    <w:top w:val="single" w:color="auto" w:sz="4" w:space="0"/>
                    <w:left w:val="nil"/>
                    <w:bottom w:val="single" w:color="auto" w:sz="4" w:space="0"/>
                    <w:right w:val="single" w:color="auto" w:sz="4" w:space="0"/>
                  </w:tcBorders>
                  <w:noWrap w:val="0"/>
                  <w:vAlign w:val="center"/>
                </w:tcPr>
                <w:p w14:paraId="6D32DE70">
                  <w:pPr>
                    <w:keepNext w:val="0"/>
                    <w:keepLines w:val="0"/>
                    <w:widowControl w:val="0"/>
                    <w:suppressLineNumbers w:val="0"/>
                    <w:spacing w:before="0" w:beforeAutospacing="0" w:after="0" w:afterAutospacing="0"/>
                    <w:ind w:left="0" w:right="0"/>
                    <w:jc w:val="left"/>
                    <w:rPr>
                      <w:rFonts w:hint="default" w:ascii="Times New Roman" w:hAnsi="Times New Roman" w:eastAsia="宋体" w:cs="Times New Roman"/>
                      <w:b w:val="0"/>
                      <w:bCs/>
                      <w:color w:val="auto"/>
                      <w:kern w:val="2"/>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VOCs产生源设置在密闭车间、密闭设备（含反应釜）、密闭管道内，所有开口处，包括人员或物料进出口处呈负压</w:t>
                  </w:r>
                </w:p>
              </w:tc>
              <w:tc>
                <w:tcPr>
                  <w:tcW w:w="811" w:type="dxa"/>
                  <w:tcBorders>
                    <w:top w:val="single" w:color="auto" w:sz="4" w:space="0"/>
                    <w:left w:val="nil"/>
                    <w:bottom w:val="single" w:color="auto" w:sz="4" w:space="0"/>
                    <w:right w:val="single" w:color="auto" w:sz="4" w:space="0"/>
                  </w:tcBorders>
                  <w:noWrap w:val="0"/>
                  <w:vAlign w:val="center"/>
                </w:tcPr>
                <w:p w14:paraId="4DB3B22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color w:val="auto"/>
                      <w:kern w:val="2"/>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90</w:t>
                  </w:r>
                </w:p>
              </w:tc>
            </w:tr>
            <w:tr w14:paraId="132AA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869" w:type="dxa"/>
                  <w:vMerge w:val="continue"/>
                  <w:tcBorders>
                    <w:top w:val="nil"/>
                    <w:left w:val="single" w:color="auto" w:sz="4" w:space="0"/>
                    <w:bottom w:val="single" w:color="auto" w:sz="4" w:space="0"/>
                    <w:right w:val="single" w:color="auto" w:sz="4" w:space="0"/>
                  </w:tcBorders>
                  <w:noWrap w:val="0"/>
                  <w:vAlign w:val="center"/>
                </w:tcPr>
                <w:p w14:paraId="1B926A4C">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0"/>
                      <w:szCs w:val="20"/>
                      <w:highlight w:val="none"/>
                      <w:lang w:val="en-US" w:eastAsia="zh-CN"/>
                    </w:rPr>
                  </w:pPr>
                </w:p>
              </w:tc>
              <w:tc>
                <w:tcPr>
                  <w:tcW w:w="2211" w:type="dxa"/>
                  <w:tcBorders>
                    <w:top w:val="single" w:color="auto" w:sz="4" w:space="0"/>
                    <w:left w:val="nil"/>
                    <w:bottom w:val="single" w:color="auto" w:sz="4" w:space="0"/>
                    <w:right w:val="single" w:color="auto" w:sz="4" w:space="0"/>
                  </w:tcBorders>
                  <w:noWrap w:val="0"/>
                  <w:vAlign w:val="center"/>
                </w:tcPr>
                <w:p w14:paraId="5B21930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color w:val="auto"/>
                      <w:kern w:val="2"/>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单层密闭正压</w:t>
                  </w:r>
                </w:p>
              </w:tc>
              <w:tc>
                <w:tcPr>
                  <w:tcW w:w="3980" w:type="dxa"/>
                  <w:tcBorders>
                    <w:top w:val="single" w:color="auto" w:sz="4" w:space="0"/>
                    <w:left w:val="nil"/>
                    <w:bottom w:val="single" w:color="auto" w:sz="4" w:space="0"/>
                    <w:right w:val="single" w:color="auto" w:sz="4" w:space="0"/>
                  </w:tcBorders>
                  <w:noWrap w:val="0"/>
                  <w:vAlign w:val="center"/>
                </w:tcPr>
                <w:p w14:paraId="05DB124F">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b w:val="0"/>
                      <w:bCs/>
                      <w:color w:val="auto"/>
                      <w:kern w:val="2"/>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VOCs产生源设置在密闭车间内，所有开口处，包括人员或物料进出口处呈正压，且无明显泄漏点</w:t>
                  </w:r>
                </w:p>
              </w:tc>
              <w:tc>
                <w:tcPr>
                  <w:tcW w:w="811" w:type="dxa"/>
                  <w:tcBorders>
                    <w:top w:val="single" w:color="auto" w:sz="4" w:space="0"/>
                    <w:left w:val="nil"/>
                    <w:bottom w:val="single" w:color="auto" w:sz="4" w:space="0"/>
                    <w:right w:val="single" w:color="auto" w:sz="4" w:space="0"/>
                  </w:tcBorders>
                  <w:noWrap w:val="0"/>
                  <w:vAlign w:val="center"/>
                </w:tcPr>
                <w:p w14:paraId="5C68D45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color w:val="auto"/>
                      <w:kern w:val="2"/>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80</w:t>
                  </w:r>
                </w:p>
              </w:tc>
            </w:tr>
            <w:tr w14:paraId="307FE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869" w:type="dxa"/>
                  <w:vMerge w:val="continue"/>
                  <w:tcBorders>
                    <w:top w:val="nil"/>
                    <w:left w:val="single" w:color="auto" w:sz="4" w:space="0"/>
                    <w:bottom w:val="single" w:color="auto" w:sz="4" w:space="0"/>
                    <w:right w:val="single" w:color="auto" w:sz="4" w:space="0"/>
                  </w:tcBorders>
                  <w:noWrap w:val="0"/>
                  <w:vAlign w:val="center"/>
                </w:tcPr>
                <w:p w14:paraId="4FF86C13">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0"/>
                      <w:szCs w:val="20"/>
                      <w:highlight w:val="none"/>
                      <w:lang w:val="en-US" w:eastAsia="zh-CN"/>
                    </w:rPr>
                  </w:pPr>
                </w:p>
              </w:tc>
              <w:tc>
                <w:tcPr>
                  <w:tcW w:w="2211" w:type="dxa"/>
                  <w:tcBorders>
                    <w:top w:val="single" w:color="auto" w:sz="4" w:space="0"/>
                    <w:left w:val="nil"/>
                    <w:bottom w:val="single" w:color="auto" w:sz="4" w:space="0"/>
                    <w:right w:val="single" w:color="auto" w:sz="4" w:space="0"/>
                  </w:tcBorders>
                  <w:noWrap w:val="0"/>
                  <w:vAlign w:val="center"/>
                </w:tcPr>
                <w:p w14:paraId="7CBDA1C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color w:val="auto"/>
                      <w:kern w:val="2"/>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双层密闭空间</w:t>
                  </w:r>
                </w:p>
              </w:tc>
              <w:tc>
                <w:tcPr>
                  <w:tcW w:w="3980" w:type="dxa"/>
                  <w:tcBorders>
                    <w:top w:val="single" w:color="auto" w:sz="4" w:space="0"/>
                    <w:left w:val="nil"/>
                    <w:bottom w:val="single" w:color="auto" w:sz="4" w:space="0"/>
                    <w:right w:val="single" w:color="auto" w:sz="4" w:space="0"/>
                  </w:tcBorders>
                  <w:noWrap w:val="0"/>
                  <w:vAlign w:val="center"/>
                </w:tcPr>
                <w:p w14:paraId="5EA1810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color w:val="auto"/>
                      <w:kern w:val="2"/>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内层空间密闭正压，外层空间密闭负压</w:t>
                  </w:r>
                </w:p>
              </w:tc>
              <w:tc>
                <w:tcPr>
                  <w:tcW w:w="811" w:type="dxa"/>
                  <w:tcBorders>
                    <w:top w:val="single" w:color="auto" w:sz="4" w:space="0"/>
                    <w:left w:val="nil"/>
                    <w:bottom w:val="single" w:color="auto" w:sz="4" w:space="0"/>
                    <w:right w:val="single" w:color="auto" w:sz="4" w:space="0"/>
                  </w:tcBorders>
                  <w:noWrap w:val="0"/>
                  <w:vAlign w:val="center"/>
                </w:tcPr>
                <w:p w14:paraId="24A464E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color w:val="auto"/>
                      <w:kern w:val="2"/>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98</w:t>
                  </w:r>
                </w:p>
              </w:tc>
            </w:tr>
            <w:tr w14:paraId="4231E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jc w:val="center"/>
              </w:trPr>
              <w:tc>
                <w:tcPr>
                  <w:tcW w:w="869" w:type="dxa"/>
                  <w:vMerge w:val="continue"/>
                  <w:tcBorders>
                    <w:top w:val="nil"/>
                    <w:left w:val="single" w:color="auto" w:sz="4" w:space="0"/>
                    <w:bottom w:val="single" w:color="auto" w:sz="4" w:space="0"/>
                    <w:right w:val="single" w:color="auto" w:sz="4" w:space="0"/>
                  </w:tcBorders>
                  <w:noWrap w:val="0"/>
                  <w:vAlign w:val="center"/>
                </w:tcPr>
                <w:p w14:paraId="7777C026">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0"/>
                      <w:szCs w:val="20"/>
                      <w:highlight w:val="none"/>
                      <w:lang w:val="en-US" w:eastAsia="zh-CN"/>
                    </w:rPr>
                  </w:pPr>
                </w:p>
              </w:tc>
              <w:tc>
                <w:tcPr>
                  <w:tcW w:w="2211" w:type="dxa"/>
                  <w:tcBorders>
                    <w:top w:val="single" w:color="auto" w:sz="4" w:space="0"/>
                    <w:left w:val="nil"/>
                    <w:bottom w:val="single" w:color="auto" w:sz="4" w:space="0"/>
                    <w:right w:val="single" w:color="auto" w:sz="4" w:space="0"/>
                  </w:tcBorders>
                  <w:noWrap w:val="0"/>
                  <w:vAlign w:val="center"/>
                </w:tcPr>
                <w:p w14:paraId="2A03B63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color w:val="auto"/>
                      <w:kern w:val="2"/>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设备废气排口直连</w:t>
                  </w:r>
                </w:p>
              </w:tc>
              <w:tc>
                <w:tcPr>
                  <w:tcW w:w="3980" w:type="dxa"/>
                  <w:tcBorders>
                    <w:top w:val="single" w:color="auto" w:sz="4" w:space="0"/>
                    <w:left w:val="nil"/>
                    <w:bottom w:val="single" w:color="auto" w:sz="4" w:space="0"/>
                    <w:right w:val="single" w:color="auto" w:sz="4" w:space="0"/>
                  </w:tcBorders>
                  <w:noWrap w:val="0"/>
                  <w:vAlign w:val="center"/>
                </w:tcPr>
                <w:p w14:paraId="180AB383">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b w:val="0"/>
                      <w:bCs/>
                      <w:color w:val="auto"/>
                      <w:kern w:val="2"/>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设备有固定排放管（或口）直接与风管连接，设备整体密闭只留产品进出口，且进出口处有废气收集措施，收集系统运行时周边基本无VOCs散发。</w:t>
                  </w:r>
                </w:p>
              </w:tc>
              <w:tc>
                <w:tcPr>
                  <w:tcW w:w="811" w:type="dxa"/>
                  <w:tcBorders>
                    <w:top w:val="single" w:color="auto" w:sz="4" w:space="0"/>
                    <w:left w:val="nil"/>
                    <w:bottom w:val="single" w:color="auto" w:sz="4" w:space="0"/>
                    <w:right w:val="single" w:color="auto" w:sz="4" w:space="0"/>
                  </w:tcBorders>
                  <w:noWrap w:val="0"/>
                  <w:vAlign w:val="center"/>
                </w:tcPr>
                <w:p w14:paraId="4504C5D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color w:val="auto"/>
                      <w:kern w:val="2"/>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95</w:t>
                  </w:r>
                </w:p>
              </w:tc>
            </w:tr>
            <w:tr w14:paraId="53267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869" w:type="dxa"/>
                  <w:vMerge w:val="restart"/>
                  <w:tcBorders>
                    <w:top w:val="nil"/>
                    <w:left w:val="single" w:color="auto" w:sz="4" w:space="0"/>
                    <w:bottom w:val="single" w:color="auto" w:sz="4" w:space="0"/>
                    <w:right w:val="single" w:color="auto" w:sz="4" w:space="0"/>
                  </w:tcBorders>
                  <w:noWrap w:val="0"/>
                  <w:vAlign w:val="center"/>
                </w:tcPr>
                <w:p w14:paraId="099EB06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color w:val="auto"/>
                      <w:kern w:val="2"/>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半密闭型集气设备（含排气柜）</w:t>
                  </w:r>
                </w:p>
              </w:tc>
              <w:tc>
                <w:tcPr>
                  <w:tcW w:w="2211" w:type="dxa"/>
                  <w:vMerge w:val="restart"/>
                  <w:tcBorders>
                    <w:top w:val="nil"/>
                    <w:left w:val="nil"/>
                    <w:bottom w:val="single" w:color="auto" w:sz="4" w:space="0"/>
                    <w:right w:val="single" w:color="auto" w:sz="4" w:space="0"/>
                  </w:tcBorders>
                  <w:noWrap w:val="0"/>
                  <w:vAlign w:val="center"/>
                </w:tcPr>
                <w:p w14:paraId="78C78CC4">
                  <w:pPr>
                    <w:keepNext w:val="0"/>
                    <w:keepLines w:val="0"/>
                    <w:widowControl w:val="0"/>
                    <w:suppressLineNumbers w:val="0"/>
                    <w:spacing w:before="0" w:beforeAutospacing="0" w:after="0" w:afterAutospacing="0"/>
                    <w:ind w:left="0" w:right="0"/>
                    <w:jc w:val="left"/>
                    <w:rPr>
                      <w:rFonts w:hint="default" w:ascii="Times New Roman" w:hAnsi="Times New Roman" w:eastAsia="宋体" w:cs="Times New Roman"/>
                      <w:b w:val="0"/>
                      <w:bCs/>
                      <w:color w:val="auto"/>
                      <w:kern w:val="2"/>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污染物产生点（或生产设施）四周及上下有围挡设施，符合以下两种情况：1．仅保留1个操作工位面；2．仅保留物料进出通道，通道敞开面小于1个操作工位面。</w:t>
                  </w:r>
                </w:p>
              </w:tc>
              <w:tc>
                <w:tcPr>
                  <w:tcW w:w="3980" w:type="dxa"/>
                  <w:tcBorders>
                    <w:top w:val="single" w:color="auto" w:sz="4" w:space="0"/>
                    <w:left w:val="nil"/>
                    <w:bottom w:val="single" w:color="auto" w:sz="4" w:space="0"/>
                    <w:right w:val="single" w:color="auto" w:sz="4" w:space="0"/>
                  </w:tcBorders>
                  <w:noWrap w:val="0"/>
                  <w:vAlign w:val="center"/>
                </w:tcPr>
                <w:p w14:paraId="319755A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color w:val="auto"/>
                      <w:kern w:val="2"/>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敞开面控制风速不小于0.3m/s</w:t>
                  </w:r>
                </w:p>
              </w:tc>
              <w:tc>
                <w:tcPr>
                  <w:tcW w:w="811" w:type="dxa"/>
                  <w:tcBorders>
                    <w:top w:val="single" w:color="auto" w:sz="4" w:space="0"/>
                    <w:left w:val="nil"/>
                    <w:bottom w:val="single" w:color="auto" w:sz="4" w:space="0"/>
                    <w:right w:val="single" w:color="auto" w:sz="4" w:space="0"/>
                  </w:tcBorders>
                  <w:noWrap w:val="0"/>
                  <w:vAlign w:val="center"/>
                </w:tcPr>
                <w:p w14:paraId="4972488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color w:val="auto"/>
                      <w:kern w:val="2"/>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65</w:t>
                  </w:r>
                </w:p>
              </w:tc>
            </w:tr>
            <w:tr w14:paraId="32C44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869" w:type="dxa"/>
                  <w:vMerge w:val="continue"/>
                  <w:tcBorders>
                    <w:top w:val="nil"/>
                    <w:left w:val="single" w:color="auto" w:sz="4" w:space="0"/>
                    <w:bottom w:val="single" w:color="auto" w:sz="4" w:space="0"/>
                    <w:right w:val="single" w:color="auto" w:sz="4" w:space="0"/>
                  </w:tcBorders>
                  <w:noWrap w:val="0"/>
                  <w:vAlign w:val="center"/>
                </w:tcPr>
                <w:p w14:paraId="737118D8">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0"/>
                      <w:szCs w:val="20"/>
                      <w:highlight w:val="none"/>
                      <w:lang w:val="en-US" w:eastAsia="zh-CN"/>
                    </w:rPr>
                  </w:pPr>
                </w:p>
              </w:tc>
              <w:tc>
                <w:tcPr>
                  <w:tcW w:w="2211" w:type="dxa"/>
                  <w:vMerge w:val="continue"/>
                  <w:tcBorders>
                    <w:top w:val="nil"/>
                    <w:left w:val="nil"/>
                    <w:bottom w:val="single" w:color="auto" w:sz="4" w:space="0"/>
                    <w:right w:val="single" w:color="auto" w:sz="4" w:space="0"/>
                  </w:tcBorders>
                  <w:noWrap w:val="0"/>
                  <w:vAlign w:val="center"/>
                </w:tcPr>
                <w:p w14:paraId="5AC39098">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0"/>
                      <w:szCs w:val="20"/>
                      <w:highlight w:val="none"/>
                      <w:lang w:val="en-US" w:eastAsia="zh-CN"/>
                    </w:rPr>
                  </w:pPr>
                </w:p>
              </w:tc>
              <w:tc>
                <w:tcPr>
                  <w:tcW w:w="3980" w:type="dxa"/>
                  <w:tcBorders>
                    <w:top w:val="single" w:color="auto" w:sz="4" w:space="0"/>
                    <w:left w:val="nil"/>
                    <w:bottom w:val="single" w:color="auto" w:sz="4" w:space="0"/>
                    <w:right w:val="single" w:color="auto" w:sz="4" w:space="0"/>
                  </w:tcBorders>
                  <w:noWrap w:val="0"/>
                  <w:vAlign w:val="center"/>
                </w:tcPr>
                <w:p w14:paraId="4651E4B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color w:val="auto"/>
                      <w:kern w:val="2"/>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敞开面控制风速小于0.3m/s</w:t>
                  </w:r>
                </w:p>
              </w:tc>
              <w:tc>
                <w:tcPr>
                  <w:tcW w:w="811" w:type="dxa"/>
                  <w:tcBorders>
                    <w:top w:val="single" w:color="auto" w:sz="4" w:space="0"/>
                    <w:left w:val="nil"/>
                    <w:bottom w:val="single" w:color="auto" w:sz="4" w:space="0"/>
                    <w:right w:val="single" w:color="auto" w:sz="4" w:space="0"/>
                  </w:tcBorders>
                  <w:noWrap w:val="0"/>
                  <w:vAlign w:val="center"/>
                </w:tcPr>
                <w:p w14:paraId="3C3268B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color w:val="auto"/>
                      <w:kern w:val="2"/>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0</w:t>
                  </w:r>
                </w:p>
              </w:tc>
            </w:tr>
            <w:tr w14:paraId="76170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69" w:type="dxa"/>
                  <w:vMerge w:val="restart"/>
                  <w:tcBorders>
                    <w:top w:val="nil"/>
                    <w:left w:val="single" w:color="auto" w:sz="4" w:space="0"/>
                    <w:bottom w:val="single" w:color="auto" w:sz="4" w:space="0"/>
                    <w:right w:val="single" w:color="auto" w:sz="4" w:space="0"/>
                  </w:tcBorders>
                  <w:noWrap w:val="0"/>
                  <w:vAlign w:val="center"/>
                </w:tcPr>
                <w:p w14:paraId="62715A13">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
                    </w:rPr>
                    <w:t>包围型集气罩</w:t>
                  </w:r>
                </w:p>
              </w:tc>
              <w:tc>
                <w:tcPr>
                  <w:tcW w:w="2211" w:type="dxa"/>
                  <w:vMerge w:val="restart"/>
                  <w:tcBorders>
                    <w:top w:val="nil"/>
                    <w:left w:val="nil"/>
                    <w:bottom w:val="single" w:color="auto" w:sz="4" w:space="0"/>
                    <w:right w:val="single" w:color="auto" w:sz="4" w:space="0"/>
                  </w:tcBorders>
                  <w:noWrap w:val="0"/>
                  <w:vAlign w:val="center"/>
                </w:tcPr>
                <w:p w14:paraId="55680947">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
                    </w:rPr>
                    <w:t>通过软质垂帘四周围挡（偶有部分敞开）</w:t>
                  </w:r>
                </w:p>
              </w:tc>
              <w:tc>
                <w:tcPr>
                  <w:tcW w:w="3980" w:type="dxa"/>
                  <w:tcBorders>
                    <w:top w:val="single" w:color="auto" w:sz="4" w:space="0"/>
                    <w:left w:val="nil"/>
                    <w:bottom w:val="single" w:color="auto" w:sz="4" w:space="0"/>
                    <w:right w:val="single" w:color="auto" w:sz="4" w:space="0"/>
                  </w:tcBorders>
                  <w:noWrap w:val="0"/>
                  <w:vAlign w:val="center"/>
                </w:tcPr>
                <w:p w14:paraId="1AF84D7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敞开面控制风速不小于0.3m/s</w:t>
                  </w:r>
                </w:p>
              </w:tc>
              <w:tc>
                <w:tcPr>
                  <w:tcW w:w="811" w:type="dxa"/>
                  <w:tcBorders>
                    <w:top w:val="single" w:color="auto" w:sz="4" w:space="0"/>
                    <w:left w:val="nil"/>
                    <w:bottom w:val="single" w:color="auto" w:sz="4" w:space="0"/>
                    <w:right w:val="single" w:color="auto" w:sz="4" w:space="0"/>
                  </w:tcBorders>
                  <w:noWrap w:val="0"/>
                  <w:vAlign w:val="center"/>
                </w:tcPr>
                <w:p w14:paraId="7EC2563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50</w:t>
                  </w:r>
                </w:p>
              </w:tc>
            </w:tr>
            <w:tr w14:paraId="1E278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69" w:type="dxa"/>
                  <w:vMerge w:val="continue"/>
                  <w:tcBorders>
                    <w:top w:val="nil"/>
                    <w:left w:val="single" w:color="auto" w:sz="4" w:space="0"/>
                    <w:bottom w:val="single" w:color="auto" w:sz="4" w:space="0"/>
                    <w:right w:val="single" w:color="auto" w:sz="4" w:space="0"/>
                  </w:tcBorders>
                  <w:noWrap w:val="0"/>
                  <w:vAlign w:val="center"/>
                </w:tcPr>
                <w:p w14:paraId="4CC5E3C9">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0"/>
                      <w:szCs w:val="20"/>
                      <w:highlight w:val="none"/>
                      <w:lang w:val="en-US" w:eastAsia="zh-CN"/>
                    </w:rPr>
                  </w:pPr>
                </w:p>
              </w:tc>
              <w:tc>
                <w:tcPr>
                  <w:tcW w:w="2211" w:type="dxa"/>
                  <w:vMerge w:val="continue"/>
                  <w:tcBorders>
                    <w:top w:val="nil"/>
                    <w:left w:val="nil"/>
                    <w:bottom w:val="single" w:color="auto" w:sz="4" w:space="0"/>
                    <w:right w:val="single" w:color="auto" w:sz="4" w:space="0"/>
                  </w:tcBorders>
                  <w:noWrap w:val="0"/>
                  <w:vAlign w:val="center"/>
                </w:tcPr>
                <w:p w14:paraId="2DA7126E">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0"/>
                      <w:szCs w:val="20"/>
                      <w:highlight w:val="none"/>
                      <w:lang w:val="en-US" w:eastAsia="zh-CN"/>
                    </w:rPr>
                  </w:pPr>
                </w:p>
              </w:tc>
              <w:tc>
                <w:tcPr>
                  <w:tcW w:w="3980" w:type="dxa"/>
                  <w:tcBorders>
                    <w:top w:val="single" w:color="auto" w:sz="4" w:space="0"/>
                    <w:left w:val="nil"/>
                    <w:bottom w:val="single" w:color="auto" w:sz="4" w:space="0"/>
                    <w:right w:val="single" w:color="auto" w:sz="4" w:space="0"/>
                  </w:tcBorders>
                  <w:noWrap w:val="0"/>
                  <w:vAlign w:val="center"/>
                </w:tcPr>
                <w:p w14:paraId="27E75E0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敞开面控制风速小于0.3m/s</w:t>
                  </w:r>
                </w:p>
              </w:tc>
              <w:tc>
                <w:tcPr>
                  <w:tcW w:w="811" w:type="dxa"/>
                  <w:tcBorders>
                    <w:top w:val="single" w:color="auto" w:sz="4" w:space="0"/>
                    <w:left w:val="nil"/>
                    <w:bottom w:val="single" w:color="auto" w:sz="4" w:space="0"/>
                    <w:right w:val="single" w:color="auto" w:sz="4" w:space="0"/>
                  </w:tcBorders>
                  <w:noWrap w:val="0"/>
                  <w:vAlign w:val="center"/>
                </w:tcPr>
                <w:p w14:paraId="13F8DEE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0</w:t>
                  </w:r>
                </w:p>
              </w:tc>
            </w:tr>
            <w:tr w14:paraId="1FB65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869" w:type="dxa"/>
                  <w:vMerge w:val="restart"/>
                  <w:tcBorders>
                    <w:top w:val="nil"/>
                    <w:left w:val="single" w:color="auto" w:sz="4" w:space="0"/>
                    <w:bottom w:val="single" w:color="auto" w:sz="4" w:space="0"/>
                    <w:right w:val="single" w:color="auto" w:sz="4" w:space="0"/>
                  </w:tcBorders>
                  <w:noWrap w:val="0"/>
                  <w:vAlign w:val="center"/>
                </w:tcPr>
                <w:p w14:paraId="6450B34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color w:val="auto"/>
                      <w:kern w:val="2"/>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外部型集气设备</w:t>
                  </w:r>
                </w:p>
              </w:tc>
              <w:tc>
                <w:tcPr>
                  <w:tcW w:w="2211" w:type="dxa"/>
                  <w:vMerge w:val="restart"/>
                  <w:tcBorders>
                    <w:top w:val="nil"/>
                    <w:left w:val="nil"/>
                    <w:bottom w:val="single" w:color="auto" w:sz="4" w:space="0"/>
                    <w:right w:val="single" w:color="auto" w:sz="4" w:space="0"/>
                  </w:tcBorders>
                  <w:noWrap w:val="0"/>
                  <w:vAlign w:val="center"/>
                </w:tcPr>
                <w:p w14:paraId="4CB7755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color w:val="auto"/>
                      <w:kern w:val="2"/>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w:t>
                  </w:r>
                </w:p>
              </w:tc>
              <w:tc>
                <w:tcPr>
                  <w:tcW w:w="3980" w:type="dxa"/>
                  <w:tcBorders>
                    <w:top w:val="single" w:color="auto" w:sz="4" w:space="0"/>
                    <w:left w:val="nil"/>
                    <w:bottom w:val="single" w:color="auto" w:sz="4" w:space="0"/>
                    <w:right w:val="single" w:color="auto" w:sz="4" w:space="0"/>
                  </w:tcBorders>
                  <w:noWrap w:val="0"/>
                  <w:vAlign w:val="center"/>
                </w:tcPr>
                <w:p w14:paraId="4283E29C">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b/>
                      <w:bCs w:val="0"/>
                      <w:color w:val="auto"/>
                      <w:kern w:val="2"/>
                      <w:sz w:val="21"/>
                      <w:szCs w:val="21"/>
                      <w:highlight w:val="none"/>
                      <w:lang w:val="en-US" w:eastAsia="zh-CN"/>
                    </w:rPr>
                  </w:pPr>
                  <w:r>
                    <w:rPr>
                      <w:rFonts w:hint="default" w:ascii="Times New Roman" w:hAnsi="Times New Roman" w:eastAsia="宋体" w:cs="Times New Roman"/>
                      <w:b/>
                      <w:bCs w:val="0"/>
                      <w:color w:val="auto"/>
                      <w:kern w:val="0"/>
                      <w:sz w:val="21"/>
                      <w:szCs w:val="21"/>
                      <w:highlight w:val="none"/>
                      <w:lang w:val="en-US" w:eastAsia="zh-CN" w:bidi="ar"/>
                    </w:rPr>
                    <w:t>相应工位所有VOCs逸散点控制风速不小于0.3m/s</w:t>
                  </w:r>
                </w:p>
              </w:tc>
              <w:tc>
                <w:tcPr>
                  <w:tcW w:w="811" w:type="dxa"/>
                  <w:tcBorders>
                    <w:top w:val="single" w:color="auto" w:sz="4" w:space="0"/>
                    <w:left w:val="nil"/>
                    <w:bottom w:val="single" w:color="auto" w:sz="4" w:space="0"/>
                    <w:right w:val="single" w:color="auto" w:sz="4" w:space="0"/>
                  </w:tcBorders>
                  <w:noWrap w:val="0"/>
                  <w:vAlign w:val="center"/>
                </w:tcPr>
                <w:p w14:paraId="70C3898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val="0"/>
                      <w:color w:val="auto"/>
                      <w:kern w:val="2"/>
                      <w:sz w:val="21"/>
                      <w:szCs w:val="21"/>
                      <w:highlight w:val="none"/>
                      <w:lang w:val="en-US" w:eastAsia="zh-CN"/>
                    </w:rPr>
                  </w:pPr>
                  <w:r>
                    <w:rPr>
                      <w:rFonts w:hint="default" w:ascii="Times New Roman" w:hAnsi="Times New Roman" w:eastAsia="宋体" w:cs="Times New Roman"/>
                      <w:b/>
                      <w:bCs w:val="0"/>
                      <w:color w:val="auto"/>
                      <w:kern w:val="0"/>
                      <w:sz w:val="21"/>
                      <w:szCs w:val="21"/>
                      <w:highlight w:val="none"/>
                      <w:lang w:val="en-US" w:eastAsia="zh-CN" w:bidi="ar"/>
                    </w:rPr>
                    <w:t>30</w:t>
                  </w:r>
                </w:p>
              </w:tc>
            </w:tr>
            <w:tr w14:paraId="436F3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869" w:type="dxa"/>
                  <w:vMerge w:val="continue"/>
                  <w:tcBorders>
                    <w:top w:val="nil"/>
                    <w:left w:val="single" w:color="auto" w:sz="4" w:space="0"/>
                    <w:bottom w:val="single" w:color="auto" w:sz="4" w:space="0"/>
                    <w:right w:val="single" w:color="auto" w:sz="4" w:space="0"/>
                  </w:tcBorders>
                  <w:noWrap w:val="0"/>
                  <w:vAlign w:val="center"/>
                </w:tcPr>
                <w:p w14:paraId="426364B3">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0"/>
                      <w:szCs w:val="20"/>
                      <w:highlight w:val="none"/>
                      <w:lang w:val="en-US" w:eastAsia="zh-CN"/>
                    </w:rPr>
                  </w:pPr>
                </w:p>
              </w:tc>
              <w:tc>
                <w:tcPr>
                  <w:tcW w:w="2211" w:type="dxa"/>
                  <w:vMerge w:val="continue"/>
                  <w:tcBorders>
                    <w:top w:val="nil"/>
                    <w:left w:val="nil"/>
                    <w:bottom w:val="single" w:color="auto" w:sz="4" w:space="0"/>
                    <w:right w:val="single" w:color="auto" w:sz="4" w:space="0"/>
                  </w:tcBorders>
                  <w:noWrap w:val="0"/>
                  <w:vAlign w:val="center"/>
                </w:tcPr>
                <w:p w14:paraId="537A38D7">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0"/>
                      <w:szCs w:val="20"/>
                      <w:highlight w:val="none"/>
                      <w:lang w:val="en-US" w:eastAsia="zh-CN"/>
                    </w:rPr>
                  </w:pPr>
                </w:p>
              </w:tc>
              <w:tc>
                <w:tcPr>
                  <w:tcW w:w="3980" w:type="dxa"/>
                  <w:tcBorders>
                    <w:top w:val="single" w:color="auto" w:sz="4" w:space="0"/>
                    <w:left w:val="nil"/>
                    <w:bottom w:val="single" w:color="auto" w:sz="4" w:space="0"/>
                    <w:right w:val="single" w:color="auto" w:sz="4" w:space="0"/>
                  </w:tcBorders>
                  <w:noWrap w:val="0"/>
                  <w:vAlign w:val="center"/>
                </w:tcPr>
                <w:p w14:paraId="4C85FAAF">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b w:val="0"/>
                      <w:bCs/>
                      <w:color w:val="auto"/>
                      <w:kern w:val="2"/>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相应工位所有VOCs逸散点控制风速小干0.3m/s，或存在强对流干扰</w:t>
                  </w:r>
                </w:p>
              </w:tc>
              <w:tc>
                <w:tcPr>
                  <w:tcW w:w="811" w:type="dxa"/>
                  <w:tcBorders>
                    <w:top w:val="single" w:color="auto" w:sz="4" w:space="0"/>
                    <w:left w:val="nil"/>
                    <w:bottom w:val="single" w:color="auto" w:sz="4" w:space="0"/>
                    <w:right w:val="single" w:color="auto" w:sz="4" w:space="0"/>
                  </w:tcBorders>
                  <w:noWrap w:val="0"/>
                  <w:vAlign w:val="center"/>
                </w:tcPr>
                <w:p w14:paraId="2605BD8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color w:val="auto"/>
                      <w:kern w:val="2"/>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0</w:t>
                  </w:r>
                </w:p>
              </w:tc>
            </w:tr>
            <w:tr w14:paraId="49DFE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869" w:type="dxa"/>
                  <w:tcBorders>
                    <w:top w:val="single" w:color="auto" w:sz="4" w:space="0"/>
                    <w:left w:val="single" w:color="auto" w:sz="4" w:space="0"/>
                    <w:bottom w:val="single" w:color="auto" w:sz="4" w:space="0"/>
                    <w:right w:val="single" w:color="auto" w:sz="4" w:space="0"/>
                  </w:tcBorders>
                  <w:noWrap w:val="0"/>
                  <w:vAlign w:val="center"/>
                </w:tcPr>
                <w:p w14:paraId="4EA5DF1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color w:val="auto"/>
                      <w:kern w:val="2"/>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无集气设施</w:t>
                  </w:r>
                </w:p>
              </w:tc>
              <w:tc>
                <w:tcPr>
                  <w:tcW w:w="2211" w:type="dxa"/>
                  <w:tcBorders>
                    <w:top w:val="single" w:color="auto" w:sz="4" w:space="0"/>
                    <w:left w:val="nil"/>
                    <w:bottom w:val="single" w:color="auto" w:sz="4" w:space="0"/>
                    <w:right w:val="single" w:color="auto" w:sz="4" w:space="0"/>
                  </w:tcBorders>
                  <w:noWrap w:val="0"/>
                  <w:vAlign w:val="center"/>
                </w:tcPr>
                <w:p w14:paraId="268DC08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color w:val="auto"/>
                      <w:kern w:val="2"/>
                      <w:sz w:val="21"/>
                      <w:szCs w:val="21"/>
                      <w:highlight w:val="none"/>
                      <w:lang w:val="en-US" w:eastAsia="zh-CN"/>
                    </w:rPr>
                  </w:pPr>
                  <w:r>
                    <w:rPr>
                      <w:rFonts w:hint="default" w:ascii="Times New Roman" w:hAnsi="Times New Roman" w:eastAsia="宋体" w:cs="Times New Roman"/>
                      <w:b w:val="0"/>
                      <w:bCs/>
                      <w:color w:val="auto"/>
                      <w:kern w:val="2"/>
                      <w:sz w:val="21"/>
                      <w:szCs w:val="21"/>
                      <w:highlight w:val="none"/>
                      <w:lang w:val="en-US" w:eastAsia="zh-CN" w:bidi="ar"/>
                    </w:rPr>
                    <w:t>——</w:t>
                  </w:r>
                </w:p>
              </w:tc>
              <w:tc>
                <w:tcPr>
                  <w:tcW w:w="3980" w:type="dxa"/>
                  <w:tcBorders>
                    <w:top w:val="single" w:color="auto" w:sz="4" w:space="0"/>
                    <w:left w:val="nil"/>
                    <w:bottom w:val="single" w:color="auto" w:sz="4" w:space="0"/>
                    <w:right w:val="single" w:color="auto" w:sz="4" w:space="0"/>
                  </w:tcBorders>
                  <w:noWrap w:val="0"/>
                  <w:vAlign w:val="center"/>
                </w:tcPr>
                <w:p w14:paraId="06FCAFBF">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b w:val="0"/>
                      <w:bCs/>
                      <w:color w:val="auto"/>
                      <w:kern w:val="2"/>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1、无集气设施；2、集气设施运行不正常</w:t>
                  </w:r>
                </w:p>
              </w:tc>
              <w:tc>
                <w:tcPr>
                  <w:tcW w:w="811" w:type="dxa"/>
                  <w:tcBorders>
                    <w:top w:val="single" w:color="auto" w:sz="4" w:space="0"/>
                    <w:left w:val="nil"/>
                    <w:bottom w:val="single" w:color="auto" w:sz="4" w:space="0"/>
                    <w:right w:val="single" w:color="auto" w:sz="4" w:space="0"/>
                  </w:tcBorders>
                  <w:noWrap w:val="0"/>
                  <w:vAlign w:val="center"/>
                </w:tcPr>
                <w:p w14:paraId="243BC46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color w:val="auto"/>
                      <w:kern w:val="2"/>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0</w:t>
                  </w:r>
                </w:p>
              </w:tc>
            </w:tr>
            <w:tr w14:paraId="7CC43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7871" w:type="dxa"/>
                  <w:gridSpan w:val="4"/>
                  <w:tcBorders>
                    <w:top w:val="single" w:color="auto" w:sz="4" w:space="0"/>
                    <w:left w:val="single" w:color="auto" w:sz="4" w:space="0"/>
                    <w:bottom w:val="single" w:color="auto" w:sz="4" w:space="0"/>
                    <w:right w:val="single" w:color="auto" w:sz="4" w:space="0"/>
                  </w:tcBorders>
                  <w:noWrap w:val="0"/>
                  <w:vAlign w:val="center"/>
                </w:tcPr>
                <w:p w14:paraId="14F9439F">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b w:val="0"/>
                      <w:bCs/>
                      <w:color w:val="auto"/>
                      <w:kern w:val="2"/>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备注：1同一工序具有多种废气收集类型的，该工序按照废气收集效率最高的类型取值。</w:t>
                  </w:r>
                </w:p>
              </w:tc>
            </w:tr>
          </w:tbl>
          <w:p w14:paraId="1FCDE63B">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32"/>
                <w:highlight w:val="none"/>
                <w:lang w:val="en-US" w:eastAsia="zh-CN"/>
              </w:rPr>
            </w:pPr>
            <w:r>
              <w:rPr>
                <w:rFonts w:hint="eastAsia" w:ascii="Times New Roman" w:hAnsi="Times New Roman" w:eastAsia="宋体" w:cs="Times New Roman"/>
                <w:color w:val="auto"/>
                <w:sz w:val="24"/>
                <w:szCs w:val="32"/>
                <w:highlight w:val="none"/>
                <w:lang w:val="en-US" w:eastAsia="zh-CN"/>
              </w:rPr>
              <w:t>④处理设施及效率</w:t>
            </w:r>
          </w:p>
          <w:p w14:paraId="73E64936">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32"/>
                <w:highlight w:val="none"/>
                <w:lang w:val="en-US" w:eastAsia="zh-CN"/>
              </w:rPr>
            </w:pPr>
            <w:r>
              <w:rPr>
                <w:rFonts w:hint="eastAsia" w:ascii="Times New Roman" w:hAnsi="Times New Roman" w:eastAsia="宋体" w:cs="Times New Roman"/>
                <w:color w:val="auto"/>
                <w:sz w:val="24"/>
                <w:szCs w:val="32"/>
                <w:highlight w:val="none"/>
                <w:lang w:val="en-US" w:eastAsia="zh-CN"/>
              </w:rPr>
              <w:t>本项目</w:t>
            </w:r>
            <w:r>
              <w:rPr>
                <w:rFonts w:hint="eastAsia" w:cs="Times New Roman"/>
                <w:color w:val="auto"/>
                <w:sz w:val="24"/>
                <w:szCs w:val="32"/>
                <w:highlight w:val="none"/>
                <w:lang w:val="en-US" w:eastAsia="zh-CN"/>
              </w:rPr>
              <w:t>调墨、润版、印刷、过油和油墨清洗废气</w:t>
            </w:r>
            <w:r>
              <w:rPr>
                <w:rFonts w:hint="eastAsia" w:ascii="Times New Roman" w:hAnsi="Times New Roman" w:eastAsia="宋体" w:cs="Times New Roman"/>
                <w:color w:val="auto"/>
                <w:sz w:val="24"/>
                <w:szCs w:val="32"/>
                <w:highlight w:val="none"/>
                <w:lang w:val="en-US" w:eastAsia="zh-CN"/>
              </w:rPr>
              <w:t>通过两级活性炭吸附装置处理，当存在两种或两种以上治理设施联合治理时，治理效率可按照下列公式计算。</w:t>
            </w:r>
          </w:p>
          <w:p w14:paraId="23982D9F">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32"/>
                <w:highlight w:val="none"/>
                <w:lang w:val="en-US" w:eastAsia="zh-CN"/>
              </w:rPr>
            </w:pPr>
            <w:r>
              <w:rPr>
                <w:rFonts w:hint="eastAsia" w:ascii="Times New Roman" w:hAnsi="Times New Roman" w:eastAsia="宋体" w:cs="Times New Roman"/>
                <w:color w:val="auto"/>
                <w:sz w:val="24"/>
                <w:szCs w:val="32"/>
                <w:highlight w:val="none"/>
                <w:lang w:val="en-US" w:eastAsia="zh-CN"/>
              </w:rPr>
              <w:t>η=1 -（1 - η1 ）×（1 - η2 ）…（1 - ηi ）</w:t>
            </w:r>
          </w:p>
          <w:p w14:paraId="185BCC2D">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32"/>
                <w:highlight w:val="none"/>
                <w:lang w:val="en-US" w:eastAsia="zh-CN"/>
              </w:rPr>
            </w:pPr>
            <w:r>
              <w:rPr>
                <w:rFonts w:hint="eastAsia" w:ascii="Times New Roman" w:hAnsi="Times New Roman" w:eastAsia="宋体" w:cs="Times New Roman"/>
                <w:color w:val="auto"/>
                <w:sz w:val="24"/>
                <w:szCs w:val="32"/>
                <w:highlight w:val="none"/>
                <w:lang w:val="en-US" w:eastAsia="zh-CN"/>
              </w:rPr>
              <w:t>式中：ηi——某种治理设施的治理效率。</w:t>
            </w:r>
          </w:p>
          <w:p w14:paraId="3739C97B">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32"/>
                <w:highlight w:val="none"/>
                <w:lang w:val="en-US" w:eastAsia="zh-CN"/>
              </w:rPr>
            </w:pPr>
            <w:r>
              <w:rPr>
                <w:rFonts w:hint="eastAsia" w:ascii="Times New Roman" w:hAnsi="Times New Roman" w:eastAsia="宋体" w:cs="Times New Roman"/>
                <w:color w:val="auto"/>
                <w:sz w:val="24"/>
                <w:szCs w:val="32"/>
                <w:highlight w:val="none"/>
                <w:lang w:val="en-US" w:eastAsia="zh-CN"/>
              </w:rPr>
              <w:t>活性炭吸附：根据《广东省家具制造行业挥发性有机化合物废气治理技术指南》（粤环[2013]79 号）中表4典型治理技术的经济成本及环境效益，活性炭吸附法可达治理效率50-80%。为保险起见，处理效率取65%，本项目采用两级活性炭吸附。综上所述，项目废气治理设施对有机废气的处理效率为 1-（1-0.65）×（1-0.65）=0.87，</w:t>
            </w:r>
            <w:r>
              <w:rPr>
                <w:rFonts w:hint="eastAsia" w:cs="Times New Roman"/>
                <w:color w:val="auto"/>
                <w:sz w:val="24"/>
                <w:szCs w:val="32"/>
                <w:highlight w:val="none"/>
                <w:lang w:val="en-US" w:eastAsia="zh-CN"/>
              </w:rPr>
              <w:t>印刷</w:t>
            </w:r>
            <w:r>
              <w:rPr>
                <w:rFonts w:hint="eastAsia" w:ascii="Times New Roman" w:hAnsi="Times New Roman" w:eastAsia="宋体" w:cs="Times New Roman"/>
                <w:color w:val="auto"/>
                <w:sz w:val="24"/>
                <w:szCs w:val="32"/>
                <w:highlight w:val="none"/>
                <w:lang w:val="en-US" w:eastAsia="zh-CN"/>
              </w:rPr>
              <w:t>有机废气处理效率取80%。</w:t>
            </w:r>
          </w:p>
          <w:p w14:paraId="6C2E247C">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32"/>
                <w:highlight w:val="none"/>
                <w:lang w:val="en-US" w:eastAsia="zh-CN"/>
              </w:rPr>
            </w:pPr>
            <w:r>
              <w:rPr>
                <w:rFonts w:hint="eastAsia" w:ascii="宋体" w:hAnsi="宋体" w:eastAsia="宋体" w:cs="宋体"/>
                <w:color w:val="auto"/>
                <w:sz w:val="24"/>
                <w:szCs w:val="32"/>
                <w:highlight w:val="none"/>
                <w:lang w:val="en-US" w:eastAsia="zh-CN"/>
              </w:rPr>
              <w:t>⑤</w:t>
            </w:r>
            <w:r>
              <w:rPr>
                <w:rFonts w:hint="eastAsia" w:ascii="Times New Roman" w:hAnsi="Times New Roman" w:eastAsia="宋体" w:cs="Times New Roman"/>
                <w:color w:val="auto"/>
                <w:sz w:val="24"/>
                <w:szCs w:val="32"/>
                <w:highlight w:val="none"/>
                <w:lang w:val="en-US" w:eastAsia="zh-CN"/>
              </w:rPr>
              <w:t>碳箱参数</w:t>
            </w:r>
          </w:p>
          <w:p w14:paraId="698CB95C">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本项目活性炭箱尺寸为长</w:t>
            </w:r>
            <w:r>
              <w:rPr>
                <w:rFonts w:hint="eastAsia" w:ascii="Times New Roman" w:hAnsi="Times New Roman" w:cs="Times New Roman"/>
                <w:color w:val="auto"/>
                <w:sz w:val="24"/>
                <w:highlight w:val="none"/>
                <w:lang w:val="en-US" w:eastAsia="zh-CN"/>
              </w:rPr>
              <w:t>1.5</w:t>
            </w:r>
            <w:r>
              <w:rPr>
                <w:rFonts w:hint="default" w:ascii="Times New Roman" w:hAnsi="Times New Roman" w:cs="Times New Roman"/>
                <w:color w:val="auto"/>
                <w:sz w:val="24"/>
                <w:highlight w:val="none"/>
              </w:rPr>
              <w:t>m×宽</w:t>
            </w:r>
            <w:r>
              <w:rPr>
                <w:rFonts w:hint="eastAsia" w:ascii="Times New Roman" w:hAnsi="Times New Roman" w:cs="Times New Roman"/>
                <w:color w:val="auto"/>
                <w:sz w:val="24"/>
                <w:highlight w:val="none"/>
                <w:lang w:val="en-US" w:eastAsia="zh-CN"/>
              </w:rPr>
              <w:t>1.4</w:t>
            </w:r>
            <w:r>
              <w:rPr>
                <w:rFonts w:hint="default" w:ascii="Times New Roman" w:hAnsi="Times New Roman" w:cs="Times New Roman"/>
                <w:color w:val="auto"/>
                <w:sz w:val="24"/>
                <w:highlight w:val="none"/>
              </w:rPr>
              <w:t>m×高1m，活性炭箱体内设活性炭层为2层，单层厚规格为300mm。本项目活性炭密度为0.5t/m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，碘值大于800mg/g的颗粒状活性炭，单层炭体长、宽、厚规格为</w:t>
            </w:r>
            <w:r>
              <w:rPr>
                <w:rFonts w:hint="eastAsia" w:ascii="Times New Roman" w:hAnsi="Times New Roman" w:cs="Times New Roman"/>
                <w:color w:val="auto"/>
                <w:sz w:val="24"/>
                <w:highlight w:val="none"/>
                <w:lang w:val="en-US" w:eastAsia="zh-CN"/>
              </w:rPr>
              <w:t>1.45</w:t>
            </w:r>
            <w:r>
              <w:rPr>
                <w:rFonts w:hint="default" w:ascii="Times New Roman" w:hAnsi="Times New Roman" w:cs="Times New Roman"/>
                <w:color w:val="auto"/>
                <w:sz w:val="24"/>
                <w:highlight w:val="none"/>
              </w:rPr>
              <w:t>m、</w:t>
            </w:r>
            <w:r>
              <w:rPr>
                <w:rFonts w:hint="eastAsia" w:ascii="Times New Roman" w:hAnsi="Times New Roman" w:cs="Times New Roman"/>
                <w:color w:val="auto"/>
                <w:sz w:val="24"/>
                <w:highlight w:val="none"/>
                <w:lang w:val="en-US" w:eastAsia="zh-CN"/>
              </w:rPr>
              <w:t>1.3</w:t>
            </w:r>
            <w:r>
              <w:rPr>
                <w:rFonts w:hint="default" w:ascii="Times New Roman" w:hAnsi="Times New Roman" w:cs="Times New Roman"/>
                <w:color w:val="auto"/>
                <w:sz w:val="24"/>
                <w:highlight w:val="none"/>
              </w:rPr>
              <w:t>m、0.3m，即每层炭体体积为</w:t>
            </w:r>
            <w:r>
              <w:rPr>
                <w:rFonts w:hint="eastAsia" w:ascii="Times New Roman" w:hAnsi="Times New Roman" w:cs="Times New Roman"/>
                <w:color w:val="auto"/>
                <w:sz w:val="24"/>
                <w:highlight w:val="none"/>
                <w:lang w:val="en-US" w:eastAsia="zh-CN"/>
              </w:rPr>
              <w:t>1.45</w:t>
            </w:r>
            <w:r>
              <w:rPr>
                <w:rFonts w:hint="default" w:ascii="Times New Roman" w:hAnsi="Times New Roman" w:cs="Times New Roman"/>
                <w:color w:val="auto"/>
                <w:sz w:val="24"/>
                <w:highlight w:val="none"/>
              </w:rPr>
              <w:t>m×</w:t>
            </w:r>
            <w:r>
              <w:rPr>
                <w:rFonts w:hint="eastAsia" w:ascii="Times New Roman" w:hAnsi="Times New Roman" w:cs="Times New Roman"/>
                <w:color w:val="auto"/>
                <w:sz w:val="24"/>
                <w:highlight w:val="none"/>
                <w:lang w:val="en-US" w:eastAsia="zh-CN"/>
              </w:rPr>
              <w:t>1.3</w:t>
            </w:r>
            <w:r>
              <w:rPr>
                <w:rFonts w:hint="default" w:ascii="Times New Roman" w:hAnsi="Times New Roman" w:cs="Times New Roman"/>
                <w:color w:val="auto"/>
                <w:sz w:val="24"/>
                <w:highlight w:val="none"/>
              </w:rPr>
              <w:t>m×0.3m=</w:t>
            </w:r>
            <w:r>
              <w:rPr>
                <w:rFonts w:hint="eastAsia" w:ascii="Times New Roman" w:hAnsi="Times New Roman" w:cs="Times New Roman"/>
                <w:color w:val="auto"/>
                <w:sz w:val="24"/>
                <w:highlight w:val="none"/>
                <w:lang w:val="en-US" w:eastAsia="zh-CN"/>
              </w:rPr>
              <w:t>0.5655</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，每层炭体装载量为</w:t>
            </w:r>
            <w:r>
              <w:rPr>
                <w:rFonts w:hint="eastAsia" w:ascii="Times New Roman" w:hAnsi="Times New Roman" w:cs="Times New Roman"/>
                <w:color w:val="auto"/>
                <w:sz w:val="24"/>
                <w:highlight w:val="none"/>
                <w:lang w:val="en-US" w:eastAsia="zh-CN"/>
              </w:rPr>
              <w:t>0.5655</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×0.5t/m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0.28275</w:t>
            </w:r>
            <w:r>
              <w:rPr>
                <w:rFonts w:hint="default" w:ascii="Times New Roman" w:hAnsi="Times New Roman" w:cs="Times New Roman"/>
                <w:color w:val="auto"/>
                <w:sz w:val="24"/>
                <w:highlight w:val="none"/>
              </w:rPr>
              <w:t>t，单级活性炭箱布置2层，则单级活性炭装载量为</w:t>
            </w:r>
            <w:r>
              <w:rPr>
                <w:rFonts w:hint="eastAsia" w:ascii="Times New Roman" w:hAnsi="Times New Roman" w:cs="Times New Roman"/>
                <w:color w:val="auto"/>
                <w:sz w:val="24"/>
                <w:highlight w:val="none"/>
                <w:lang w:val="en-US" w:eastAsia="zh-CN"/>
              </w:rPr>
              <w:t>0.28275</w:t>
            </w:r>
            <w:r>
              <w:rPr>
                <w:rFonts w:hint="default" w:ascii="Times New Roman" w:hAnsi="Times New Roman" w:cs="Times New Roman"/>
                <w:color w:val="auto"/>
                <w:sz w:val="24"/>
                <w:highlight w:val="none"/>
              </w:rPr>
              <w:t>×2=</w:t>
            </w:r>
            <w:r>
              <w:rPr>
                <w:rFonts w:hint="eastAsia" w:ascii="Times New Roman" w:hAnsi="Times New Roman" w:cs="Times New Roman"/>
                <w:color w:val="auto"/>
                <w:sz w:val="24"/>
                <w:highlight w:val="none"/>
                <w:lang w:val="en-US" w:eastAsia="zh-CN"/>
              </w:rPr>
              <w:t>0.5655</w:t>
            </w:r>
            <w:r>
              <w:rPr>
                <w:rFonts w:hint="default" w:ascii="Times New Roman" w:hAnsi="Times New Roman" w:cs="Times New Roman"/>
                <w:color w:val="auto"/>
                <w:sz w:val="24"/>
                <w:highlight w:val="none"/>
              </w:rPr>
              <w:t>t，两级活性炭装载量为</w:t>
            </w:r>
            <w:r>
              <w:rPr>
                <w:rFonts w:hint="eastAsia" w:ascii="Times New Roman" w:hAnsi="Times New Roman" w:cs="Times New Roman"/>
                <w:color w:val="auto"/>
                <w:sz w:val="24"/>
                <w:highlight w:val="none"/>
                <w:lang w:val="en-US" w:eastAsia="zh-CN"/>
              </w:rPr>
              <w:t>0.5655</w:t>
            </w:r>
            <w:r>
              <w:rPr>
                <w:rFonts w:hint="default" w:ascii="Times New Roman" w:hAnsi="Times New Roman" w:cs="Times New Roman"/>
                <w:color w:val="auto"/>
                <w:sz w:val="24"/>
                <w:highlight w:val="none"/>
              </w:rPr>
              <w:t>×2=</w:t>
            </w:r>
            <w:r>
              <w:rPr>
                <w:rFonts w:hint="eastAsia" w:ascii="Times New Roman" w:hAnsi="Times New Roman" w:cs="Times New Roman"/>
                <w:color w:val="auto"/>
                <w:sz w:val="24"/>
                <w:highlight w:val="none"/>
                <w:lang w:val="en-US" w:eastAsia="zh-CN"/>
              </w:rPr>
              <w:t>1.131</w:t>
            </w:r>
            <w:r>
              <w:rPr>
                <w:rFonts w:hint="default" w:ascii="Times New Roman" w:hAnsi="Times New Roman" w:cs="Times New Roman"/>
                <w:color w:val="auto"/>
                <w:sz w:val="24"/>
                <w:highlight w:val="none"/>
              </w:rPr>
              <w:t>t。本项目有机废气配套的两级活性炭吸附装置的设计参数见下表。</w:t>
            </w:r>
          </w:p>
          <w:p w14:paraId="58E870A4">
            <w:pPr>
              <w:tabs>
                <w:tab w:val="left" w:pos="397"/>
              </w:tabs>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表4-</w:t>
            </w:r>
            <w:r>
              <w:rPr>
                <w:rFonts w:hint="eastAsia" w:ascii="Times New Roman" w:hAnsi="Times New Roman" w:cs="Times New Roman"/>
                <w:b/>
                <w:bCs/>
                <w:color w:val="auto"/>
                <w:szCs w:val="21"/>
                <w:highlight w:val="none"/>
                <w:lang w:val="en-US" w:eastAsia="zh-CN"/>
              </w:rPr>
              <w:t>3</w:t>
            </w:r>
            <w:r>
              <w:rPr>
                <w:rFonts w:hint="default" w:ascii="Times New Roman" w:hAnsi="Times New Roman" w:cs="Times New Roman"/>
                <w:b/>
                <w:color w:val="auto"/>
                <w:szCs w:val="21"/>
                <w:highlight w:val="none"/>
              </w:rPr>
              <w:t>两级活性炭吸附装置技术参数</w:t>
            </w:r>
          </w:p>
          <w:tbl>
            <w:tblPr>
              <w:tblStyle w:val="31"/>
              <w:tblW w:w="7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4"/>
              <w:gridCol w:w="1316"/>
              <w:gridCol w:w="2397"/>
              <w:gridCol w:w="1712"/>
            </w:tblGrid>
            <w:tr w14:paraId="6730C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087" w:type="dxa"/>
                  <w:gridSpan w:val="3"/>
                  <w:noWrap w:val="0"/>
                  <w:vAlign w:val="center"/>
                </w:tcPr>
                <w:p w14:paraId="5696E972">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污染物</w:t>
                  </w:r>
                </w:p>
              </w:tc>
              <w:tc>
                <w:tcPr>
                  <w:tcW w:w="1712" w:type="dxa"/>
                  <w:noWrap w:val="0"/>
                  <w:vAlign w:val="center"/>
                </w:tcPr>
                <w:p w14:paraId="6CA06DF1">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有机废气</w:t>
                  </w:r>
                </w:p>
              </w:tc>
            </w:tr>
            <w:tr w14:paraId="4A443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087" w:type="dxa"/>
                  <w:gridSpan w:val="3"/>
                  <w:noWrap w:val="0"/>
                  <w:vAlign w:val="center"/>
                </w:tcPr>
                <w:p w14:paraId="4AC4063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废气量（m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/h）</w:t>
                  </w:r>
                </w:p>
              </w:tc>
              <w:tc>
                <w:tcPr>
                  <w:tcW w:w="1712" w:type="dxa"/>
                  <w:noWrap w:val="0"/>
                  <w:vAlign w:val="center"/>
                </w:tcPr>
                <w:p w14:paraId="4B344D0D">
                  <w:pPr>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8000</w:t>
                  </w:r>
                </w:p>
              </w:tc>
            </w:tr>
            <w:tr w14:paraId="5E102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2374" w:type="dxa"/>
                  <w:vMerge w:val="restart"/>
                  <w:noWrap w:val="0"/>
                  <w:vAlign w:val="center"/>
                </w:tcPr>
                <w:p w14:paraId="19B2360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单级活性炭吸附装置设计参数</w:t>
                  </w:r>
                </w:p>
              </w:tc>
              <w:tc>
                <w:tcPr>
                  <w:tcW w:w="1316" w:type="dxa"/>
                  <w:vMerge w:val="restart"/>
                  <w:noWrap w:val="0"/>
                  <w:vAlign w:val="center"/>
                </w:tcPr>
                <w:p w14:paraId="2B8C247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活性炭参数</w:t>
                  </w:r>
                </w:p>
              </w:tc>
              <w:tc>
                <w:tcPr>
                  <w:tcW w:w="2397" w:type="dxa"/>
                  <w:noWrap w:val="0"/>
                  <w:vAlign w:val="center"/>
                </w:tcPr>
                <w:p w14:paraId="250C38D2">
                  <w:pPr>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活性炭种类</w:t>
                  </w:r>
                </w:p>
              </w:tc>
              <w:tc>
                <w:tcPr>
                  <w:tcW w:w="1712" w:type="dxa"/>
                  <w:noWrap w:val="0"/>
                  <w:vAlign w:val="center"/>
                </w:tcPr>
                <w:p w14:paraId="595D434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颗粒状</w:t>
                  </w:r>
                </w:p>
              </w:tc>
            </w:tr>
            <w:tr w14:paraId="7E97A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2374" w:type="dxa"/>
                  <w:vMerge w:val="continue"/>
                  <w:noWrap w:val="0"/>
                  <w:vAlign w:val="center"/>
                </w:tcPr>
                <w:p w14:paraId="000F687B">
                  <w:pPr>
                    <w:jc w:val="center"/>
                    <w:rPr>
                      <w:rFonts w:hint="default" w:ascii="Times New Roman" w:hAnsi="Times New Roman" w:cs="Times New Roman"/>
                      <w:color w:val="auto"/>
                      <w:szCs w:val="21"/>
                      <w:highlight w:val="none"/>
                    </w:rPr>
                  </w:pPr>
                </w:p>
              </w:tc>
              <w:tc>
                <w:tcPr>
                  <w:tcW w:w="1316" w:type="dxa"/>
                  <w:vMerge w:val="continue"/>
                  <w:noWrap w:val="0"/>
                  <w:vAlign w:val="center"/>
                </w:tcPr>
                <w:p w14:paraId="7054A1EA">
                  <w:pPr>
                    <w:jc w:val="center"/>
                    <w:rPr>
                      <w:rFonts w:hint="default" w:ascii="Times New Roman" w:hAnsi="Times New Roman" w:cs="Times New Roman"/>
                      <w:color w:val="auto"/>
                      <w:szCs w:val="21"/>
                      <w:highlight w:val="none"/>
                    </w:rPr>
                  </w:pPr>
                </w:p>
              </w:tc>
              <w:tc>
                <w:tcPr>
                  <w:tcW w:w="2397" w:type="dxa"/>
                  <w:noWrap w:val="0"/>
                  <w:vAlign w:val="center"/>
                </w:tcPr>
                <w:p w14:paraId="726CC215">
                  <w:pPr>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活性炭碘值</w:t>
                  </w:r>
                </w:p>
              </w:tc>
              <w:tc>
                <w:tcPr>
                  <w:tcW w:w="1712" w:type="dxa"/>
                  <w:noWrap w:val="0"/>
                  <w:vAlign w:val="center"/>
                </w:tcPr>
                <w:p w14:paraId="78FF28E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800mg/g</w:t>
                  </w:r>
                </w:p>
              </w:tc>
            </w:tr>
            <w:tr w14:paraId="0CBB7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2374" w:type="dxa"/>
                  <w:vMerge w:val="continue"/>
                  <w:noWrap w:val="0"/>
                  <w:vAlign w:val="center"/>
                </w:tcPr>
                <w:p w14:paraId="2E82F9C0">
                  <w:pPr>
                    <w:jc w:val="center"/>
                    <w:rPr>
                      <w:rFonts w:hint="default" w:ascii="Times New Roman" w:hAnsi="Times New Roman" w:cs="Times New Roman"/>
                      <w:color w:val="auto"/>
                      <w:szCs w:val="21"/>
                      <w:highlight w:val="none"/>
                    </w:rPr>
                  </w:pPr>
                </w:p>
              </w:tc>
              <w:tc>
                <w:tcPr>
                  <w:tcW w:w="1316" w:type="dxa"/>
                  <w:vMerge w:val="continue"/>
                  <w:noWrap w:val="0"/>
                  <w:vAlign w:val="center"/>
                </w:tcPr>
                <w:p w14:paraId="451E9196">
                  <w:pPr>
                    <w:jc w:val="center"/>
                    <w:rPr>
                      <w:rFonts w:hint="default" w:ascii="Times New Roman" w:hAnsi="Times New Roman" w:cs="Times New Roman"/>
                      <w:color w:val="auto"/>
                      <w:szCs w:val="21"/>
                      <w:highlight w:val="none"/>
                    </w:rPr>
                  </w:pPr>
                </w:p>
              </w:tc>
              <w:tc>
                <w:tcPr>
                  <w:tcW w:w="2397" w:type="dxa"/>
                  <w:noWrap w:val="0"/>
                  <w:vAlign w:val="center"/>
                </w:tcPr>
                <w:p w14:paraId="596AEAD7">
                  <w:pPr>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堆比重（g/m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w:t>
                  </w:r>
                </w:p>
              </w:tc>
              <w:tc>
                <w:tcPr>
                  <w:tcW w:w="1712" w:type="dxa"/>
                  <w:noWrap w:val="0"/>
                  <w:vAlign w:val="center"/>
                </w:tcPr>
                <w:p w14:paraId="43FB4DFD">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0.5</w:t>
                  </w:r>
                </w:p>
              </w:tc>
            </w:tr>
            <w:tr w14:paraId="57042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2374" w:type="dxa"/>
                  <w:vMerge w:val="continue"/>
                  <w:noWrap w:val="0"/>
                  <w:vAlign w:val="center"/>
                </w:tcPr>
                <w:p w14:paraId="1FB54875">
                  <w:pPr>
                    <w:jc w:val="center"/>
                    <w:rPr>
                      <w:rFonts w:hint="default" w:ascii="Times New Roman" w:hAnsi="Times New Roman" w:cs="Times New Roman"/>
                      <w:color w:val="auto"/>
                      <w:szCs w:val="21"/>
                      <w:highlight w:val="none"/>
                    </w:rPr>
                  </w:pPr>
                </w:p>
              </w:tc>
              <w:tc>
                <w:tcPr>
                  <w:tcW w:w="1316" w:type="dxa"/>
                  <w:vMerge w:val="restart"/>
                  <w:noWrap w:val="0"/>
                  <w:vAlign w:val="center"/>
                </w:tcPr>
                <w:p w14:paraId="57DFE0F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单层炭体参数</w:t>
                  </w:r>
                </w:p>
              </w:tc>
              <w:tc>
                <w:tcPr>
                  <w:tcW w:w="2397" w:type="dxa"/>
                  <w:noWrap w:val="0"/>
                  <w:vAlign w:val="center"/>
                </w:tcPr>
                <w:p w14:paraId="640605B3">
                  <w:pPr>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炭层厚度（m）</w:t>
                  </w:r>
                </w:p>
              </w:tc>
              <w:tc>
                <w:tcPr>
                  <w:tcW w:w="1712" w:type="dxa"/>
                  <w:noWrap w:val="0"/>
                  <w:vAlign w:val="center"/>
                </w:tcPr>
                <w:p w14:paraId="00484EE1">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0.3</w:t>
                  </w:r>
                </w:p>
              </w:tc>
            </w:tr>
            <w:tr w14:paraId="2B297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2374" w:type="dxa"/>
                  <w:vMerge w:val="continue"/>
                  <w:noWrap w:val="0"/>
                  <w:vAlign w:val="center"/>
                </w:tcPr>
                <w:p w14:paraId="22CBF381">
                  <w:pPr>
                    <w:jc w:val="center"/>
                    <w:rPr>
                      <w:rFonts w:hint="default" w:ascii="Times New Roman" w:hAnsi="Times New Roman" w:cs="Times New Roman"/>
                      <w:color w:val="auto"/>
                      <w:szCs w:val="21"/>
                      <w:highlight w:val="none"/>
                    </w:rPr>
                  </w:pPr>
                </w:p>
              </w:tc>
              <w:tc>
                <w:tcPr>
                  <w:tcW w:w="1316" w:type="dxa"/>
                  <w:vMerge w:val="continue"/>
                  <w:noWrap w:val="0"/>
                  <w:vAlign w:val="center"/>
                </w:tcPr>
                <w:p w14:paraId="54A7D383">
                  <w:pPr>
                    <w:jc w:val="center"/>
                    <w:rPr>
                      <w:rFonts w:hint="default" w:ascii="Times New Roman" w:hAnsi="Times New Roman" w:cs="Times New Roman"/>
                      <w:color w:val="auto"/>
                      <w:szCs w:val="21"/>
                      <w:highlight w:val="none"/>
                    </w:rPr>
                  </w:pPr>
                </w:p>
              </w:tc>
              <w:tc>
                <w:tcPr>
                  <w:tcW w:w="2397" w:type="dxa"/>
                  <w:noWrap w:val="0"/>
                  <w:vAlign w:val="center"/>
                </w:tcPr>
                <w:p w14:paraId="4E3D0197">
                  <w:pPr>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过滤面积①（m</w:t>
                  </w:r>
                  <w:r>
                    <w:rPr>
                      <w:rFonts w:hint="default" w:ascii="Times New Roman" w:hAnsi="Times New Roman" w:cs="Times New Roman"/>
                      <w:color w:val="auto"/>
                      <w:szCs w:val="21"/>
                      <w:highlight w:val="none"/>
                      <w:vertAlign w:val="superscript"/>
                    </w:rPr>
                    <w:t>2</w:t>
                  </w:r>
                  <w:r>
                    <w:rPr>
                      <w:rFonts w:hint="default" w:ascii="Times New Roman" w:hAnsi="Times New Roman" w:cs="Times New Roman"/>
                      <w:color w:val="auto"/>
                      <w:szCs w:val="21"/>
                      <w:highlight w:val="none"/>
                    </w:rPr>
                    <w:t>）</w:t>
                  </w:r>
                </w:p>
              </w:tc>
              <w:tc>
                <w:tcPr>
                  <w:tcW w:w="1712" w:type="dxa"/>
                  <w:noWrap w:val="0"/>
                  <w:vAlign w:val="center"/>
                </w:tcPr>
                <w:p w14:paraId="25C5A1FA">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1.885</w:t>
                  </w:r>
                </w:p>
              </w:tc>
            </w:tr>
            <w:tr w14:paraId="78FC7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2374" w:type="dxa"/>
                  <w:vMerge w:val="continue"/>
                  <w:noWrap w:val="0"/>
                  <w:vAlign w:val="center"/>
                </w:tcPr>
                <w:p w14:paraId="69305D0F">
                  <w:pPr>
                    <w:jc w:val="center"/>
                    <w:rPr>
                      <w:rFonts w:hint="default" w:ascii="Times New Roman" w:hAnsi="Times New Roman" w:cs="Times New Roman"/>
                      <w:color w:val="auto"/>
                      <w:szCs w:val="21"/>
                      <w:highlight w:val="none"/>
                    </w:rPr>
                  </w:pPr>
                </w:p>
              </w:tc>
              <w:tc>
                <w:tcPr>
                  <w:tcW w:w="1316" w:type="dxa"/>
                  <w:vMerge w:val="continue"/>
                  <w:noWrap w:val="0"/>
                  <w:vAlign w:val="center"/>
                </w:tcPr>
                <w:p w14:paraId="7BF79D2E">
                  <w:pPr>
                    <w:jc w:val="center"/>
                    <w:rPr>
                      <w:rFonts w:hint="default" w:ascii="Times New Roman" w:hAnsi="Times New Roman" w:cs="Times New Roman"/>
                      <w:color w:val="auto"/>
                      <w:szCs w:val="21"/>
                      <w:highlight w:val="none"/>
                    </w:rPr>
                  </w:pPr>
                </w:p>
              </w:tc>
              <w:tc>
                <w:tcPr>
                  <w:tcW w:w="2397" w:type="dxa"/>
                  <w:noWrap w:val="0"/>
                  <w:vAlign w:val="center"/>
                </w:tcPr>
                <w:p w14:paraId="588F2304">
                  <w:pPr>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过滤风速②（m/s）</w:t>
                  </w:r>
                </w:p>
              </w:tc>
              <w:tc>
                <w:tcPr>
                  <w:tcW w:w="1712" w:type="dxa"/>
                  <w:noWrap w:val="0"/>
                  <w:vAlign w:val="center"/>
                </w:tcPr>
                <w:p w14:paraId="551DFB27">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0.589</w:t>
                  </w:r>
                </w:p>
              </w:tc>
            </w:tr>
            <w:tr w14:paraId="44EF7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2374" w:type="dxa"/>
                  <w:vMerge w:val="continue"/>
                  <w:noWrap w:val="0"/>
                  <w:vAlign w:val="center"/>
                </w:tcPr>
                <w:p w14:paraId="56C94832">
                  <w:pPr>
                    <w:jc w:val="center"/>
                    <w:rPr>
                      <w:rFonts w:hint="default" w:ascii="Times New Roman" w:hAnsi="Times New Roman" w:cs="Times New Roman"/>
                      <w:color w:val="auto"/>
                      <w:szCs w:val="21"/>
                      <w:highlight w:val="none"/>
                    </w:rPr>
                  </w:pPr>
                </w:p>
              </w:tc>
              <w:tc>
                <w:tcPr>
                  <w:tcW w:w="1316" w:type="dxa"/>
                  <w:vMerge w:val="continue"/>
                  <w:noWrap w:val="0"/>
                  <w:vAlign w:val="center"/>
                </w:tcPr>
                <w:p w14:paraId="664FC9ED">
                  <w:pPr>
                    <w:jc w:val="center"/>
                    <w:rPr>
                      <w:rFonts w:hint="default" w:ascii="Times New Roman" w:hAnsi="Times New Roman" w:cs="Times New Roman"/>
                      <w:color w:val="auto"/>
                      <w:szCs w:val="21"/>
                      <w:highlight w:val="none"/>
                    </w:rPr>
                  </w:pPr>
                </w:p>
              </w:tc>
              <w:tc>
                <w:tcPr>
                  <w:tcW w:w="2397" w:type="dxa"/>
                  <w:noWrap w:val="0"/>
                  <w:vAlign w:val="center"/>
                </w:tcPr>
                <w:p w14:paraId="296721D7">
                  <w:pPr>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过滤停留时间③（s）</w:t>
                  </w:r>
                </w:p>
              </w:tc>
              <w:tc>
                <w:tcPr>
                  <w:tcW w:w="1712" w:type="dxa"/>
                  <w:noWrap w:val="0"/>
                  <w:vAlign w:val="center"/>
                </w:tcPr>
                <w:p w14:paraId="73863289">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0.509</w:t>
                  </w:r>
                </w:p>
              </w:tc>
            </w:tr>
            <w:tr w14:paraId="2370E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2374" w:type="dxa"/>
                  <w:vMerge w:val="continue"/>
                  <w:noWrap w:val="0"/>
                  <w:vAlign w:val="center"/>
                </w:tcPr>
                <w:p w14:paraId="4FD8F7B4">
                  <w:pPr>
                    <w:jc w:val="center"/>
                    <w:rPr>
                      <w:rFonts w:hint="default" w:ascii="Times New Roman" w:hAnsi="Times New Roman" w:cs="Times New Roman"/>
                      <w:color w:val="auto"/>
                      <w:szCs w:val="21"/>
                      <w:highlight w:val="none"/>
                    </w:rPr>
                  </w:pPr>
                </w:p>
              </w:tc>
              <w:tc>
                <w:tcPr>
                  <w:tcW w:w="1316" w:type="dxa"/>
                  <w:vMerge w:val="continue"/>
                  <w:noWrap w:val="0"/>
                  <w:vAlign w:val="center"/>
                </w:tcPr>
                <w:p w14:paraId="3EAC8E87">
                  <w:pPr>
                    <w:jc w:val="center"/>
                    <w:rPr>
                      <w:rFonts w:hint="default" w:ascii="Times New Roman" w:hAnsi="Times New Roman" w:cs="Times New Roman"/>
                      <w:color w:val="auto"/>
                      <w:szCs w:val="21"/>
                      <w:highlight w:val="none"/>
                    </w:rPr>
                  </w:pPr>
                </w:p>
              </w:tc>
              <w:tc>
                <w:tcPr>
                  <w:tcW w:w="2397" w:type="dxa"/>
                  <w:noWrap w:val="0"/>
                  <w:vAlign w:val="center"/>
                </w:tcPr>
                <w:p w14:paraId="20E90375">
                  <w:pPr>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活性炭装载量（t）</w:t>
                  </w:r>
                </w:p>
              </w:tc>
              <w:tc>
                <w:tcPr>
                  <w:tcW w:w="1712" w:type="dxa"/>
                  <w:noWrap w:val="0"/>
                  <w:vAlign w:val="center"/>
                </w:tcPr>
                <w:p w14:paraId="2521C7A8">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0.28275</w:t>
                  </w:r>
                </w:p>
              </w:tc>
            </w:tr>
            <w:tr w14:paraId="7B931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6" w:hRule="atLeast"/>
                <w:jc w:val="center"/>
              </w:trPr>
              <w:tc>
                <w:tcPr>
                  <w:tcW w:w="2374" w:type="dxa"/>
                  <w:vMerge w:val="continue"/>
                  <w:noWrap w:val="0"/>
                  <w:vAlign w:val="center"/>
                </w:tcPr>
                <w:p w14:paraId="7C513B55">
                  <w:pPr>
                    <w:jc w:val="center"/>
                    <w:rPr>
                      <w:rFonts w:hint="default" w:ascii="Times New Roman" w:hAnsi="Times New Roman" w:cs="Times New Roman"/>
                      <w:color w:val="auto"/>
                      <w:szCs w:val="21"/>
                      <w:highlight w:val="none"/>
                    </w:rPr>
                  </w:pPr>
                </w:p>
              </w:tc>
              <w:tc>
                <w:tcPr>
                  <w:tcW w:w="1316" w:type="dxa"/>
                  <w:vMerge w:val="restart"/>
                  <w:noWrap w:val="0"/>
                  <w:vAlign w:val="center"/>
                </w:tcPr>
                <w:p w14:paraId="4A91645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单级活性炭</w:t>
                  </w:r>
                </w:p>
              </w:tc>
              <w:tc>
                <w:tcPr>
                  <w:tcW w:w="2397" w:type="dxa"/>
                  <w:noWrap w:val="0"/>
                  <w:vAlign w:val="center"/>
                </w:tcPr>
                <w:p w14:paraId="338867F4">
                  <w:pPr>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活性炭的层数（层）</w:t>
                  </w:r>
                </w:p>
              </w:tc>
              <w:tc>
                <w:tcPr>
                  <w:tcW w:w="1712" w:type="dxa"/>
                  <w:noWrap w:val="0"/>
                  <w:vAlign w:val="center"/>
                </w:tcPr>
                <w:p w14:paraId="6077A146">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w:t>
                  </w:r>
                </w:p>
              </w:tc>
            </w:tr>
            <w:tr w14:paraId="1D171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2374" w:type="dxa"/>
                  <w:vMerge w:val="continue"/>
                  <w:noWrap w:val="0"/>
                  <w:vAlign w:val="center"/>
                </w:tcPr>
                <w:p w14:paraId="171D6351">
                  <w:pPr>
                    <w:jc w:val="center"/>
                    <w:rPr>
                      <w:rFonts w:hint="default" w:ascii="Times New Roman" w:hAnsi="Times New Roman" w:cs="Times New Roman"/>
                      <w:color w:val="auto"/>
                      <w:szCs w:val="21"/>
                      <w:highlight w:val="none"/>
                    </w:rPr>
                  </w:pPr>
                </w:p>
              </w:tc>
              <w:tc>
                <w:tcPr>
                  <w:tcW w:w="1316" w:type="dxa"/>
                  <w:vMerge w:val="continue"/>
                  <w:noWrap w:val="0"/>
                  <w:vAlign w:val="center"/>
                </w:tcPr>
                <w:p w14:paraId="13B5BC39">
                  <w:pPr>
                    <w:jc w:val="center"/>
                    <w:rPr>
                      <w:rFonts w:hint="default" w:ascii="Times New Roman" w:hAnsi="Times New Roman" w:cs="Times New Roman"/>
                      <w:color w:val="auto"/>
                      <w:szCs w:val="21"/>
                      <w:highlight w:val="none"/>
                    </w:rPr>
                  </w:pPr>
                </w:p>
              </w:tc>
              <w:tc>
                <w:tcPr>
                  <w:tcW w:w="2397" w:type="dxa"/>
                  <w:noWrap w:val="0"/>
                  <w:vAlign w:val="center"/>
                </w:tcPr>
                <w:p w14:paraId="61269579">
                  <w:pPr>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进出风方式（串联/并联）</w:t>
                  </w:r>
                </w:p>
              </w:tc>
              <w:tc>
                <w:tcPr>
                  <w:tcW w:w="1712" w:type="dxa"/>
                  <w:noWrap w:val="0"/>
                  <w:vAlign w:val="center"/>
                </w:tcPr>
                <w:p w14:paraId="0E73920C">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并联</w:t>
                  </w:r>
                </w:p>
              </w:tc>
            </w:tr>
            <w:tr w14:paraId="18F9F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2374" w:type="dxa"/>
                  <w:vMerge w:val="continue"/>
                  <w:noWrap w:val="0"/>
                  <w:vAlign w:val="center"/>
                </w:tcPr>
                <w:p w14:paraId="538DDD71">
                  <w:pPr>
                    <w:jc w:val="center"/>
                    <w:rPr>
                      <w:rFonts w:hint="default" w:ascii="Times New Roman" w:hAnsi="Times New Roman" w:cs="Times New Roman"/>
                      <w:color w:val="auto"/>
                      <w:szCs w:val="21"/>
                      <w:highlight w:val="none"/>
                    </w:rPr>
                  </w:pPr>
                </w:p>
              </w:tc>
              <w:tc>
                <w:tcPr>
                  <w:tcW w:w="1316" w:type="dxa"/>
                  <w:vMerge w:val="continue"/>
                  <w:noWrap w:val="0"/>
                  <w:vAlign w:val="center"/>
                </w:tcPr>
                <w:p w14:paraId="6664072B">
                  <w:pPr>
                    <w:jc w:val="center"/>
                    <w:rPr>
                      <w:rFonts w:hint="default" w:ascii="Times New Roman" w:hAnsi="Times New Roman" w:cs="Times New Roman"/>
                      <w:color w:val="auto"/>
                      <w:szCs w:val="21"/>
                      <w:highlight w:val="none"/>
                    </w:rPr>
                  </w:pPr>
                </w:p>
              </w:tc>
              <w:tc>
                <w:tcPr>
                  <w:tcW w:w="2397" w:type="dxa"/>
                  <w:noWrap w:val="0"/>
                  <w:vAlign w:val="center"/>
                </w:tcPr>
                <w:p w14:paraId="1D03FAAD">
                  <w:pPr>
                    <w:spacing w:line="240" w:lineRule="auto"/>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过滤停留时间④（s）</w:t>
                  </w:r>
                </w:p>
              </w:tc>
              <w:tc>
                <w:tcPr>
                  <w:tcW w:w="1712" w:type="dxa"/>
                  <w:noWrap w:val="0"/>
                  <w:vAlign w:val="center"/>
                </w:tcPr>
                <w:p w14:paraId="0F3B5EDA">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0.509</w:t>
                  </w:r>
                </w:p>
              </w:tc>
            </w:tr>
            <w:tr w14:paraId="10DD9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2374" w:type="dxa"/>
                  <w:vMerge w:val="continue"/>
                  <w:noWrap w:val="0"/>
                  <w:vAlign w:val="center"/>
                </w:tcPr>
                <w:p w14:paraId="487EB7DE">
                  <w:pPr>
                    <w:jc w:val="center"/>
                    <w:rPr>
                      <w:rFonts w:hint="default" w:ascii="Times New Roman" w:hAnsi="Times New Roman" w:cs="Times New Roman"/>
                      <w:color w:val="auto"/>
                      <w:szCs w:val="21"/>
                      <w:highlight w:val="none"/>
                    </w:rPr>
                  </w:pPr>
                </w:p>
              </w:tc>
              <w:tc>
                <w:tcPr>
                  <w:tcW w:w="1316" w:type="dxa"/>
                  <w:vMerge w:val="continue"/>
                  <w:noWrap w:val="0"/>
                  <w:vAlign w:val="center"/>
                </w:tcPr>
                <w:p w14:paraId="34FB66A3">
                  <w:pPr>
                    <w:jc w:val="center"/>
                    <w:rPr>
                      <w:rFonts w:hint="default" w:ascii="Times New Roman" w:hAnsi="Times New Roman" w:cs="Times New Roman"/>
                      <w:color w:val="auto"/>
                      <w:szCs w:val="21"/>
                      <w:highlight w:val="none"/>
                    </w:rPr>
                  </w:pPr>
                </w:p>
              </w:tc>
              <w:tc>
                <w:tcPr>
                  <w:tcW w:w="2397" w:type="dxa"/>
                  <w:noWrap w:val="0"/>
                  <w:vAlign w:val="center"/>
                </w:tcPr>
                <w:p w14:paraId="2D7BE43E">
                  <w:pPr>
                    <w:spacing w:line="240" w:lineRule="auto"/>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单级活性炭总装载量⑤（t）</w:t>
                  </w:r>
                </w:p>
              </w:tc>
              <w:tc>
                <w:tcPr>
                  <w:tcW w:w="1712" w:type="dxa"/>
                  <w:noWrap w:val="0"/>
                  <w:vAlign w:val="center"/>
                </w:tcPr>
                <w:p w14:paraId="5C35DBE7">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0.5655</w:t>
                  </w:r>
                </w:p>
              </w:tc>
            </w:tr>
            <w:tr w14:paraId="0A34C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2374" w:type="dxa"/>
                  <w:vMerge w:val="restart"/>
                  <w:noWrap w:val="0"/>
                  <w:vAlign w:val="center"/>
                </w:tcPr>
                <w:p w14:paraId="497B232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活性炭吸附装置总设计参数</w:t>
                  </w:r>
                </w:p>
              </w:tc>
              <w:tc>
                <w:tcPr>
                  <w:tcW w:w="3713" w:type="dxa"/>
                  <w:gridSpan w:val="2"/>
                  <w:noWrap w:val="0"/>
                  <w:vAlign w:val="center"/>
                </w:tcPr>
                <w:p w14:paraId="656F3AB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活性炭装置总级数⑥</w:t>
                  </w:r>
                </w:p>
              </w:tc>
              <w:tc>
                <w:tcPr>
                  <w:tcW w:w="1712" w:type="dxa"/>
                  <w:noWrap w:val="0"/>
                  <w:vAlign w:val="center"/>
                </w:tcPr>
                <w:p w14:paraId="61D4C7AB">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w:t>
                  </w:r>
                </w:p>
              </w:tc>
            </w:tr>
            <w:tr w14:paraId="4C0EE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2374" w:type="dxa"/>
                  <w:vMerge w:val="continue"/>
                  <w:noWrap w:val="0"/>
                  <w:vAlign w:val="center"/>
                </w:tcPr>
                <w:p w14:paraId="3475F2AA">
                  <w:pPr>
                    <w:jc w:val="center"/>
                    <w:rPr>
                      <w:rFonts w:hint="default" w:ascii="Times New Roman" w:hAnsi="Times New Roman" w:cs="Times New Roman"/>
                      <w:color w:val="auto"/>
                      <w:szCs w:val="21"/>
                      <w:highlight w:val="none"/>
                    </w:rPr>
                  </w:pPr>
                </w:p>
              </w:tc>
              <w:tc>
                <w:tcPr>
                  <w:tcW w:w="3713" w:type="dxa"/>
                  <w:gridSpan w:val="2"/>
                  <w:noWrap w:val="0"/>
                  <w:vAlign w:val="center"/>
                </w:tcPr>
                <w:p w14:paraId="1E1EAAB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总过滤停留时间⑦（s）</w:t>
                  </w:r>
                </w:p>
              </w:tc>
              <w:tc>
                <w:tcPr>
                  <w:tcW w:w="1712" w:type="dxa"/>
                  <w:noWrap w:val="0"/>
                  <w:vAlign w:val="center"/>
                </w:tcPr>
                <w:p w14:paraId="006FC9DA">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1.018</w:t>
                  </w:r>
                </w:p>
              </w:tc>
            </w:tr>
            <w:tr w14:paraId="5CCE2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2374" w:type="dxa"/>
                  <w:vMerge w:val="continue"/>
                  <w:noWrap w:val="0"/>
                  <w:vAlign w:val="center"/>
                </w:tcPr>
                <w:p w14:paraId="079EB9B3">
                  <w:pPr>
                    <w:jc w:val="center"/>
                    <w:rPr>
                      <w:rFonts w:hint="default" w:ascii="Times New Roman" w:hAnsi="Times New Roman" w:cs="Times New Roman"/>
                      <w:color w:val="auto"/>
                      <w:szCs w:val="21"/>
                      <w:highlight w:val="none"/>
                    </w:rPr>
                  </w:pPr>
                </w:p>
              </w:tc>
              <w:tc>
                <w:tcPr>
                  <w:tcW w:w="3713" w:type="dxa"/>
                  <w:gridSpan w:val="2"/>
                  <w:noWrap w:val="0"/>
                  <w:vAlign w:val="center"/>
                </w:tcPr>
                <w:p w14:paraId="0BDFD69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活性炭总装载量⑧（t）</w:t>
                  </w:r>
                </w:p>
              </w:tc>
              <w:tc>
                <w:tcPr>
                  <w:tcW w:w="1712" w:type="dxa"/>
                  <w:noWrap w:val="0"/>
                  <w:vAlign w:val="center"/>
                </w:tcPr>
                <w:p w14:paraId="611FDE49">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1.131</w:t>
                  </w:r>
                </w:p>
              </w:tc>
            </w:tr>
            <w:tr w14:paraId="200B9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087" w:type="dxa"/>
                  <w:gridSpan w:val="3"/>
                  <w:noWrap w:val="0"/>
                  <w:vAlign w:val="center"/>
                </w:tcPr>
                <w:p w14:paraId="2AD9019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活性炭更换次数（次/a）</w:t>
                  </w:r>
                </w:p>
              </w:tc>
              <w:tc>
                <w:tcPr>
                  <w:tcW w:w="1712" w:type="dxa"/>
                  <w:noWrap w:val="0"/>
                  <w:vAlign w:val="center"/>
                </w:tcPr>
                <w:p w14:paraId="16E56458">
                  <w:pPr>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w:t>
                  </w:r>
                </w:p>
              </w:tc>
            </w:tr>
            <w:tr w14:paraId="26824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087" w:type="dxa"/>
                  <w:gridSpan w:val="3"/>
                  <w:noWrap w:val="0"/>
                  <w:vAlign w:val="center"/>
                </w:tcPr>
                <w:p w14:paraId="4BFBD1BF">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活性炭需求量⑨（t/a）</w:t>
                  </w:r>
                </w:p>
              </w:tc>
              <w:tc>
                <w:tcPr>
                  <w:tcW w:w="1712" w:type="dxa"/>
                  <w:noWrap w:val="0"/>
                  <w:vAlign w:val="center"/>
                </w:tcPr>
                <w:p w14:paraId="6FD0073F">
                  <w:pPr>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0.466</w:t>
                  </w:r>
                </w:p>
              </w:tc>
            </w:tr>
            <w:tr w14:paraId="29AAC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087" w:type="dxa"/>
                  <w:gridSpan w:val="3"/>
                  <w:noWrap w:val="0"/>
                  <w:vAlign w:val="center"/>
                </w:tcPr>
                <w:p w14:paraId="55F89B04">
                  <w:pPr>
                    <w:jc w:val="center"/>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新鲜</w:t>
                  </w:r>
                  <w:r>
                    <w:rPr>
                      <w:rFonts w:hint="default" w:ascii="Times New Roman" w:hAnsi="Times New Roman" w:cs="Times New Roman"/>
                      <w:color w:val="auto"/>
                      <w:szCs w:val="21"/>
                      <w:highlight w:val="none"/>
                    </w:rPr>
                    <w:t>活性炭更换量</w:t>
                  </w:r>
                  <w:r>
                    <w:rPr>
                      <w:rFonts w:hint="default" w:ascii="Times New Roman" w:hAnsi="Times New Roman" w:cs="Times New Roman"/>
                      <w:color w:val="auto"/>
                      <w:szCs w:val="21"/>
                      <w:highlight w:val="none"/>
                    </w:rPr>
                    <w:fldChar w:fldCharType="begin"/>
                  </w:r>
                  <w:r>
                    <w:rPr>
                      <w:rFonts w:hint="default" w:ascii="Times New Roman" w:hAnsi="Times New Roman" w:cs="Times New Roman"/>
                      <w:color w:val="auto"/>
                      <w:szCs w:val="21"/>
                      <w:highlight w:val="none"/>
                    </w:rPr>
                    <w:instrText xml:space="preserve"> = 10 \* GB3 \* MERGEFORMAT </w:instrText>
                  </w:r>
                  <w:r>
                    <w:rPr>
                      <w:rFonts w:hint="default" w:ascii="Times New Roman" w:hAnsi="Times New Roman" w:cs="Times New Roman"/>
                      <w:color w:val="auto"/>
                      <w:szCs w:val="21"/>
                      <w:highlight w:val="none"/>
                    </w:rPr>
                    <w:fldChar w:fldCharType="separate"/>
                  </w:r>
                  <w:r>
                    <w:rPr>
                      <w:rFonts w:hint="default" w:ascii="Times New Roman" w:hAnsi="Times New Roman" w:cs="Times New Roman"/>
                      <w:color w:val="auto"/>
                      <w:szCs w:val="21"/>
                      <w:highlight w:val="none"/>
                    </w:rPr>
                    <w:t>⑩</w:t>
                  </w:r>
                  <w:r>
                    <w:rPr>
                      <w:rFonts w:hint="default" w:ascii="Times New Roman" w:hAnsi="Times New Roman" w:cs="Times New Roman"/>
                      <w:color w:val="auto"/>
                      <w:szCs w:val="21"/>
                      <w:highlight w:val="none"/>
                    </w:rPr>
                    <w:fldChar w:fldCharType="end"/>
                  </w:r>
                  <w:r>
                    <w:rPr>
                      <w:rFonts w:hint="default" w:ascii="Times New Roman" w:hAnsi="Times New Roman" w:cs="Times New Roman"/>
                      <w:color w:val="auto"/>
                      <w:szCs w:val="21"/>
                      <w:highlight w:val="none"/>
                    </w:rPr>
                    <w:t>（t/a）</w:t>
                  </w:r>
                </w:p>
              </w:tc>
              <w:tc>
                <w:tcPr>
                  <w:tcW w:w="1712" w:type="dxa"/>
                  <w:noWrap w:val="0"/>
                  <w:vAlign w:val="center"/>
                </w:tcPr>
                <w:p w14:paraId="5357C321">
                  <w:pPr>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4.524</w:t>
                  </w:r>
                </w:p>
              </w:tc>
            </w:tr>
            <w:tr w14:paraId="3A555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087" w:type="dxa"/>
                  <w:gridSpan w:val="3"/>
                  <w:noWrap w:val="0"/>
                  <w:vAlign w:val="center"/>
                </w:tcPr>
                <w:p w14:paraId="05B8E72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活性炭吸附的有机废气（t/a）</w:t>
                  </w:r>
                </w:p>
              </w:tc>
              <w:tc>
                <w:tcPr>
                  <w:tcW w:w="1712" w:type="dxa"/>
                  <w:noWrap w:val="0"/>
                  <w:vAlign w:val="center"/>
                </w:tcPr>
                <w:p w14:paraId="01611852">
                  <w:pPr>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0.0699</w:t>
                  </w:r>
                </w:p>
              </w:tc>
            </w:tr>
            <w:tr w14:paraId="64402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087" w:type="dxa"/>
                  <w:gridSpan w:val="3"/>
                  <w:noWrap w:val="0"/>
                  <w:vAlign w:val="center"/>
                </w:tcPr>
                <w:p w14:paraId="1D375332">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产生的</w:t>
                  </w:r>
                  <w:r>
                    <w:rPr>
                      <w:rFonts w:hint="eastAsia" w:cs="Times New Roman"/>
                      <w:color w:val="auto"/>
                      <w:szCs w:val="21"/>
                      <w:highlight w:val="none"/>
                      <w:lang w:val="en-US" w:eastAsia="zh-CN"/>
                    </w:rPr>
                    <w:t>含有机废气</w:t>
                  </w:r>
                  <w:r>
                    <w:rPr>
                      <w:rFonts w:hint="default" w:ascii="Times New Roman" w:hAnsi="Times New Roman" w:cs="Times New Roman"/>
                      <w:color w:val="auto"/>
                      <w:szCs w:val="21"/>
                      <w:highlight w:val="none"/>
                    </w:rPr>
                    <w:t>废活性炭量（t/a）</w:t>
                  </w:r>
                </w:p>
              </w:tc>
              <w:tc>
                <w:tcPr>
                  <w:tcW w:w="1712" w:type="dxa"/>
                  <w:noWrap w:val="0"/>
                  <w:vAlign w:val="center"/>
                </w:tcPr>
                <w:p w14:paraId="27AF69D1">
                  <w:pPr>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4.594</w:t>
                  </w:r>
                </w:p>
              </w:tc>
            </w:tr>
            <w:tr w14:paraId="57D42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7799" w:type="dxa"/>
                  <w:gridSpan w:val="4"/>
                  <w:noWrap w:val="0"/>
                  <w:vAlign w:val="center"/>
                </w:tcPr>
                <w:p w14:paraId="0BB33DC4">
                  <w:pPr>
                    <w:widowControl w:val="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①单层过滤面积=炭层长度×炭层宽度=</w:t>
                  </w:r>
                  <w:r>
                    <w:rPr>
                      <w:rFonts w:hint="eastAsia" w:ascii="Times New Roman" w:hAnsi="Times New Roman" w:cs="Times New Roman"/>
                      <w:color w:val="auto"/>
                      <w:szCs w:val="21"/>
                      <w:highlight w:val="none"/>
                      <w:lang w:val="en-US" w:eastAsia="zh-CN"/>
                    </w:rPr>
                    <w:t>1.45</w:t>
                  </w:r>
                  <w:r>
                    <w:rPr>
                      <w:rFonts w:hint="default" w:ascii="Times New Roman" w:hAnsi="Times New Roman" w:cs="Times New Roman"/>
                      <w:color w:val="auto"/>
                      <w:szCs w:val="21"/>
                      <w:highlight w:val="none"/>
                    </w:rPr>
                    <w:t>m×</w:t>
                  </w:r>
                  <w:r>
                    <w:rPr>
                      <w:rFonts w:hint="eastAsia" w:ascii="Times New Roman" w:hAnsi="Times New Roman" w:cs="Times New Roman"/>
                      <w:color w:val="auto"/>
                      <w:szCs w:val="21"/>
                      <w:highlight w:val="none"/>
                      <w:lang w:val="en-US" w:eastAsia="zh-CN"/>
                    </w:rPr>
                    <w:t>1.3</w:t>
                  </w:r>
                  <w:r>
                    <w:rPr>
                      <w:rFonts w:hint="default" w:ascii="Times New Roman" w:hAnsi="Times New Roman" w:cs="Times New Roman"/>
                      <w:color w:val="auto"/>
                      <w:szCs w:val="21"/>
                      <w:highlight w:val="none"/>
                    </w:rPr>
                    <w:t>m=</w:t>
                  </w:r>
                  <w:r>
                    <w:rPr>
                      <w:rFonts w:hint="eastAsia" w:ascii="Times New Roman" w:hAnsi="Times New Roman" w:cs="Times New Roman"/>
                      <w:color w:val="auto"/>
                      <w:szCs w:val="21"/>
                      <w:highlight w:val="none"/>
                      <w:lang w:val="en-US" w:eastAsia="zh-CN"/>
                    </w:rPr>
                    <w:t>1.885</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r>
                    <w:rPr>
                      <w:rFonts w:hint="default" w:ascii="Times New Roman" w:hAnsi="Times New Roman" w:cs="Times New Roman"/>
                      <w:color w:val="auto"/>
                      <w:szCs w:val="21"/>
                      <w:highlight w:val="none"/>
                    </w:rPr>
                    <w:t>。</w:t>
                  </w:r>
                </w:p>
                <w:p w14:paraId="665E9F51">
                  <w:pPr>
                    <w:widowControl w:val="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②单层过滤风速=风机每小时废气量（m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/h）÷3600（单位：s）÷单层过滤面积（单位：m</w:t>
                  </w:r>
                  <w:r>
                    <w:rPr>
                      <w:rFonts w:hint="default" w:ascii="Times New Roman" w:hAnsi="Times New Roman" w:cs="Times New Roman"/>
                      <w:color w:val="auto"/>
                      <w:szCs w:val="21"/>
                      <w:highlight w:val="none"/>
                      <w:vertAlign w:val="superscript"/>
                    </w:rPr>
                    <w:t>2</w:t>
                  </w:r>
                  <w:r>
                    <w:rPr>
                      <w:rFonts w:hint="default" w:ascii="Times New Roman" w:hAnsi="Times New Roman" w:cs="Times New Roman"/>
                      <w:color w:val="auto"/>
                      <w:szCs w:val="21"/>
                      <w:highlight w:val="none"/>
                    </w:rPr>
                    <w:t>，并联的装置还需乘单级装置中活性炭的装填层数）=</w:t>
                  </w:r>
                  <w:r>
                    <w:rPr>
                      <w:rFonts w:hint="eastAsia" w:ascii="Times New Roman" w:hAnsi="Times New Roman" w:cs="Times New Roman"/>
                      <w:color w:val="auto"/>
                      <w:szCs w:val="21"/>
                      <w:highlight w:val="none"/>
                      <w:lang w:eastAsia="zh-CN"/>
                    </w:rPr>
                    <w:t>8000</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/h÷3600s÷（1.</w:t>
                  </w:r>
                  <w:r>
                    <w:rPr>
                      <w:rFonts w:hint="eastAsia" w:ascii="Times New Roman" w:hAnsi="Times New Roman" w:cs="Times New Roman"/>
                      <w:color w:val="auto"/>
                      <w:szCs w:val="21"/>
                      <w:highlight w:val="none"/>
                      <w:lang w:val="en-US" w:eastAsia="zh-CN"/>
                    </w:rPr>
                    <w:t>885</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r>
                    <w:rPr>
                      <w:rFonts w:hint="default" w:ascii="Times New Roman" w:hAnsi="Times New Roman" w:cs="Times New Roman"/>
                      <w:color w:val="auto"/>
                      <w:szCs w:val="21"/>
                      <w:highlight w:val="none"/>
                    </w:rPr>
                    <w:t>×2层）=</w:t>
                  </w:r>
                  <w:r>
                    <w:rPr>
                      <w:rFonts w:hint="eastAsia" w:ascii="Times New Roman" w:hAnsi="Times New Roman" w:cs="Times New Roman"/>
                      <w:color w:val="auto"/>
                      <w:szCs w:val="21"/>
                      <w:highlight w:val="none"/>
                      <w:lang w:val="en-US" w:eastAsia="zh-CN"/>
                    </w:rPr>
                    <w:t>0.589</w:t>
                  </w:r>
                  <w:r>
                    <w:rPr>
                      <w:rFonts w:hint="default" w:ascii="Times New Roman" w:hAnsi="Times New Roman" w:cs="Times New Roman"/>
                      <w:color w:val="auto"/>
                      <w:szCs w:val="21"/>
                      <w:highlight w:val="none"/>
                    </w:rPr>
                    <w:t>m/s，参考《吸附法工业有机废气治理工程技术规范》（HJ2026-2013）中使用颗粒活性炭风速宜小于0.6m/s，本项目设计碳层符合风速规定。</w:t>
                  </w:r>
                </w:p>
                <w:p w14:paraId="22A0BD1F">
                  <w:pPr>
                    <w:widowControl w:val="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③单层过滤停留时间=单层活性炭厚度÷单层过滤风速=0.3m÷0.</w:t>
                  </w:r>
                  <w:r>
                    <w:rPr>
                      <w:rFonts w:hint="eastAsia" w:ascii="Times New Roman" w:hAnsi="Times New Roman" w:cs="Times New Roman"/>
                      <w:color w:val="auto"/>
                      <w:szCs w:val="21"/>
                      <w:highlight w:val="none"/>
                      <w:lang w:val="en-US" w:eastAsia="zh-CN"/>
                    </w:rPr>
                    <w:t>589</w:t>
                  </w:r>
                  <w:r>
                    <w:rPr>
                      <w:rFonts w:hint="default" w:ascii="Times New Roman" w:hAnsi="Times New Roman" w:cs="Times New Roman"/>
                      <w:color w:val="auto"/>
                      <w:szCs w:val="21"/>
                      <w:highlight w:val="none"/>
                    </w:rPr>
                    <w:t>m/s=0.</w:t>
                  </w:r>
                  <w:r>
                    <w:rPr>
                      <w:rFonts w:hint="eastAsia" w:ascii="Times New Roman" w:hAnsi="Times New Roman" w:cs="Times New Roman"/>
                      <w:color w:val="auto"/>
                      <w:szCs w:val="21"/>
                      <w:highlight w:val="none"/>
                      <w:lang w:val="en-US" w:eastAsia="zh-CN"/>
                    </w:rPr>
                    <w:t>509</w:t>
                  </w:r>
                  <w:r>
                    <w:rPr>
                      <w:rFonts w:hint="default" w:ascii="Times New Roman" w:hAnsi="Times New Roman" w:cs="Times New Roman"/>
                      <w:color w:val="auto"/>
                      <w:szCs w:val="21"/>
                      <w:highlight w:val="none"/>
                    </w:rPr>
                    <w:t>s，参考《工业通风》（第四版）固定床吸附装置，在吸附层内滞留时间为0.2s~2s。</w:t>
                  </w:r>
                </w:p>
                <w:p w14:paraId="1461D60A">
                  <w:pPr>
                    <w:widowControl w:val="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④单级过滤停留时间=单层过滤停留时间=0.5</w:t>
                  </w:r>
                  <w:r>
                    <w:rPr>
                      <w:rFonts w:hint="eastAsia" w:ascii="Times New Roman" w:hAnsi="Times New Roman" w:cs="Times New Roman"/>
                      <w:color w:val="auto"/>
                      <w:szCs w:val="21"/>
                      <w:highlight w:val="none"/>
                      <w:lang w:val="en-US" w:eastAsia="zh-CN"/>
                    </w:rPr>
                    <w:t>09</w:t>
                  </w:r>
                  <w:r>
                    <w:rPr>
                      <w:rFonts w:hint="default" w:ascii="Times New Roman" w:hAnsi="Times New Roman" w:cs="Times New Roman"/>
                      <w:color w:val="auto"/>
                      <w:szCs w:val="21"/>
                      <w:highlight w:val="none"/>
                    </w:rPr>
                    <w:t>s，参考《工业通风》（第四版）固定床吸附装置，在吸附层内滞留时间为0.2s~2s；注：碳层间出风方式为并联的装置，无需乘活性炭层数。</w:t>
                  </w:r>
                </w:p>
                <w:p w14:paraId="40305211">
                  <w:pPr>
                    <w:widowControl w:val="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⑤单级活性炭装载量=单层体积×密度×炭层数=1.</w:t>
                  </w:r>
                  <w:r>
                    <w:rPr>
                      <w:rFonts w:hint="eastAsia" w:ascii="Times New Roman" w:hAnsi="Times New Roman" w:cs="Times New Roman"/>
                      <w:color w:val="auto"/>
                      <w:szCs w:val="21"/>
                      <w:highlight w:val="none"/>
                      <w:lang w:val="en-US" w:eastAsia="zh-CN"/>
                    </w:rPr>
                    <w:t>45</w:t>
                  </w:r>
                  <w:r>
                    <w:rPr>
                      <w:rFonts w:hint="default" w:ascii="Times New Roman" w:hAnsi="Times New Roman" w:cs="Times New Roman"/>
                      <w:color w:val="auto"/>
                      <w:szCs w:val="21"/>
                      <w:highlight w:val="none"/>
                    </w:rPr>
                    <w:t>×1.</w:t>
                  </w:r>
                  <w:r>
                    <w:rPr>
                      <w:rFonts w:hint="eastAsia"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m×0.3m×0.5t/m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×2层=0.</w:t>
                  </w:r>
                  <w:r>
                    <w:rPr>
                      <w:rFonts w:hint="eastAsia" w:ascii="Times New Roman" w:hAnsi="Times New Roman" w:cs="Times New Roman"/>
                      <w:color w:val="auto"/>
                      <w:szCs w:val="21"/>
                      <w:highlight w:val="none"/>
                      <w:lang w:val="en-US" w:eastAsia="zh-CN"/>
                    </w:rPr>
                    <w:t>5655</w:t>
                  </w:r>
                  <w:r>
                    <w:rPr>
                      <w:rFonts w:hint="default" w:ascii="Times New Roman" w:hAnsi="Times New Roman" w:cs="Times New Roman"/>
                      <w:color w:val="auto"/>
                      <w:szCs w:val="21"/>
                      <w:highlight w:val="none"/>
                    </w:rPr>
                    <w:t>t。</w:t>
                  </w:r>
                </w:p>
                <w:p w14:paraId="76F272AA">
                  <w:pPr>
                    <w:widowControl w:val="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⑥活性炭装置总级数=单级活性炭装置的个数，项目单级活性炭装置个数为2。</w:t>
                  </w:r>
                </w:p>
                <w:p w14:paraId="52AE5BE6">
                  <w:pPr>
                    <w:widowControl w:val="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⑦总过滤停留时间=单级过滤停留时间×级数=0.</w:t>
                  </w:r>
                  <w:r>
                    <w:rPr>
                      <w:rFonts w:hint="eastAsia" w:ascii="Times New Roman" w:hAnsi="Times New Roman" w:cs="Times New Roman"/>
                      <w:color w:val="auto"/>
                      <w:szCs w:val="21"/>
                      <w:highlight w:val="none"/>
                      <w:lang w:val="en-US" w:eastAsia="zh-CN"/>
                    </w:rPr>
                    <w:t>509</w:t>
                  </w:r>
                  <w:r>
                    <w:rPr>
                      <w:rFonts w:hint="default" w:ascii="Times New Roman" w:hAnsi="Times New Roman" w:cs="Times New Roman"/>
                      <w:color w:val="auto"/>
                      <w:szCs w:val="21"/>
                      <w:highlight w:val="none"/>
                    </w:rPr>
                    <w:t>s×2=</w:t>
                  </w:r>
                  <w:r>
                    <w:rPr>
                      <w:rFonts w:hint="eastAsia" w:ascii="Times New Roman" w:hAnsi="Times New Roman" w:cs="Times New Roman"/>
                      <w:color w:val="auto"/>
                      <w:szCs w:val="21"/>
                      <w:highlight w:val="none"/>
                      <w:lang w:val="en-US" w:eastAsia="zh-CN"/>
                    </w:rPr>
                    <w:t>1.018</w:t>
                  </w:r>
                  <w:r>
                    <w:rPr>
                      <w:rFonts w:hint="default" w:ascii="Times New Roman" w:hAnsi="Times New Roman" w:cs="Times New Roman"/>
                      <w:color w:val="auto"/>
                      <w:szCs w:val="21"/>
                      <w:highlight w:val="none"/>
                    </w:rPr>
                    <w:t>s，参考《工业通风》（第四版）固定床吸附装置，在吸附层内滞留时间为0.2s~2s。</w:t>
                  </w:r>
                </w:p>
                <w:p w14:paraId="3F2AFE57">
                  <w:pPr>
                    <w:widowControl w:val="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⑧总活性炭装载量=单级活性炭装载量×级数=0.</w:t>
                  </w:r>
                  <w:r>
                    <w:rPr>
                      <w:rFonts w:hint="eastAsia" w:ascii="Times New Roman" w:hAnsi="Times New Roman" w:cs="Times New Roman"/>
                      <w:color w:val="auto"/>
                      <w:szCs w:val="21"/>
                      <w:highlight w:val="none"/>
                      <w:lang w:val="en-US" w:eastAsia="zh-CN"/>
                    </w:rPr>
                    <w:t>5655</w:t>
                  </w:r>
                  <w:r>
                    <w:rPr>
                      <w:rFonts w:hint="default" w:ascii="Times New Roman" w:hAnsi="Times New Roman" w:cs="Times New Roman"/>
                      <w:color w:val="auto"/>
                      <w:szCs w:val="21"/>
                      <w:highlight w:val="none"/>
                    </w:rPr>
                    <w:t>×2=</w:t>
                  </w:r>
                  <w:r>
                    <w:rPr>
                      <w:rFonts w:hint="eastAsia" w:ascii="Times New Roman" w:hAnsi="Times New Roman" w:cs="Times New Roman"/>
                      <w:color w:val="auto"/>
                      <w:szCs w:val="21"/>
                      <w:highlight w:val="none"/>
                      <w:lang w:val="en-US" w:eastAsia="zh-CN"/>
                    </w:rPr>
                    <w:t>1.131</w:t>
                  </w:r>
                  <w:r>
                    <w:rPr>
                      <w:rFonts w:hint="default" w:ascii="Times New Roman" w:hAnsi="Times New Roman" w:cs="Times New Roman"/>
                      <w:color w:val="auto"/>
                      <w:szCs w:val="21"/>
                      <w:highlight w:val="none"/>
                    </w:rPr>
                    <w:t>t。</w:t>
                  </w:r>
                </w:p>
                <w:p w14:paraId="2A88A0EA">
                  <w:pPr>
                    <w:widowControl w:val="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⑨产生的废活性炭量=吸收的有机废气量÷吸附比例。根据《广东省生态环境厅关于印发工业源挥发性有机物和氮氧化物减排量核算方法的通知》（粤环函〔2023〕538号）附件1《广东省工业源挥发性有机物减排量核算方法（2023年修订版）》废气治理效率参考值，吸附比例建议取值15%，1吨活性炭0.15吨VOCs。本项目</w:t>
                  </w:r>
                  <w:r>
                    <w:rPr>
                      <w:rFonts w:hint="eastAsia" w:cs="Times New Roman"/>
                      <w:color w:val="auto"/>
                      <w:szCs w:val="21"/>
                      <w:highlight w:val="none"/>
                      <w:lang w:val="en-US" w:eastAsia="zh-CN"/>
                    </w:rPr>
                    <w:t>有组织生产</w:t>
                  </w:r>
                  <w:r>
                    <w:rPr>
                      <w:rFonts w:hint="default" w:ascii="Times New Roman" w:hAnsi="Times New Roman" w:cs="Times New Roman"/>
                      <w:color w:val="auto"/>
                      <w:szCs w:val="21"/>
                      <w:highlight w:val="none"/>
                    </w:rPr>
                    <w:t>产生的非甲烷总烃为</w:t>
                  </w:r>
                  <w:r>
                    <w:rPr>
                      <w:rFonts w:hint="eastAsia" w:cs="Times New Roman"/>
                      <w:color w:val="auto"/>
                      <w:szCs w:val="21"/>
                      <w:highlight w:val="none"/>
                      <w:lang w:val="en-US" w:eastAsia="zh-CN"/>
                    </w:rPr>
                    <w:t>0.0874</w:t>
                  </w:r>
                  <w:r>
                    <w:rPr>
                      <w:rFonts w:hint="default" w:ascii="Times New Roman" w:hAnsi="Times New Roman" w:cs="Times New Roman"/>
                      <w:color w:val="auto"/>
                      <w:szCs w:val="21"/>
                      <w:highlight w:val="none"/>
                    </w:rPr>
                    <w:t>t/a，两级活性炭的去除率（吸附率）为80%，计算吸附的有机废气量为</w:t>
                  </w:r>
                  <w:r>
                    <w:rPr>
                      <w:rFonts w:hint="eastAsia" w:cs="Times New Roman"/>
                      <w:color w:val="auto"/>
                      <w:szCs w:val="21"/>
                      <w:highlight w:val="none"/>
                      <w:lang w:val="en-US" w:eastAsia="zh-CN"/>
                    </w:rPr>
                    <w:t>0.0699</w:t>
                  </w:r>
                  <w:r>
                    <w:rPr>
                      <w:rFonts w:hint="default" w:ascii="Times New Roman" w:hAnsi="Times New Roman" w:cs="Times New Roman"/>
                      <w:color w:val="auto"/>
                      <w:szCs w:val="21"/>
                      <w:highlight w:val="none"/>
                    </w:rPr>
                    <w:t>吨。按照吸附比例15%计算需要的活性炭量为</w:t>
                  </w:r>
                  <w:r>
                    <w:rPr>
                      <w:rFonts w:hint="eastAsia" w:cs="Times New Roman"/>
                      <w:color w:val="auto"/>
                      <w:szCs w:val="21"/>
                      <w:highlight w:val="none"/>
                      <w:lang w:val="en-US" w:eastAsia="zh-CN"/>
                    </w:rPr>
                    <w:t>0.0699</w:t>
                  </w:r>
                  <w:r>
                    <w:rPr>
                      <w:rFonts w:hint="default" w:ascii="Times New Roman" w:hAnsi="Times New Roman" w:cs="Times New Roman"/>
                      <w:color w:val="auto"/>
                      <w:szCs w:val="21"/>
                      <w:highlight w:val="none"/>
                    </w:rPr>
                    <w:t>÷0.15=</w:t>
                  </w:r>
                  <w:r>
                    <w:rPr>
                      <w:rFonts w:hint="eastAsia" w:ascii="Times New Roman" w:hAnsi="Times New Roman" w:cs="Times New Roman"/>
                      <w:color w:val="auto"/>
                      <w:szCs w:val="21"/>
                      <w:highlight w:val="none"/>
                      <w:lang w:val="en-US" w:eastAsia="zh-CN"/>
                    </w:rPr>
                    <w:t>0.</w:t>
                  </w:r>
                  <w:r>
                    <w:rPr>
                      <w:rFonts w:hint="eastAsia" w:cs="Times New Roman"/>
                      <w:color w:val="auto"/>
                      <w:szCs w:val="21"/>
                      <w:highlight w:val="none"/>
                      <w:lang w:val="en-US" w:eastAsia="zh-CN"/>
                    </w:rPr>
                    <w:t>466</w:t>
                  </w:r>
                  <w:r>
                    <w:rPr>
                      <w:rFonts w:hint="default" w:ascii="Times New Roman" w:hAnsi="Times New Roman" w:cs="Times New Roman"/>
                      <w:color w:val="auto"/>
                      <w:szCs w:val="21"/>
                      <w:highlight w:val="none"/>
                    </w:rPr>
                    <w:t>t/a。</w:t>
                  </w:r>
                </w:p>
                <w:p w14:paraId="0E05951F">
                  <w:pPr>
                    <w:widowControl w:val="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fldChar w:fldCharType="begin"/>
                  </w:r>
                  <w:r>
                    <w:rPr>
                      <w:rFonts w:hint="default" w:ascii="Times New Roman" w:hAnsi="Times New Roman" w:cs="Times New Roman"/>
                      <w:color w:val="auto"/>
                      <w:szCs w:val="21"/>
                      <w:highlight w:val="none"/>
                    </w:rPr>
                    <w:instrText xml:space="preserve"> = 10 \* GB3 \* MERGEFORMAT </w:instrText>
                  </w:r>
                  <w:r>
                    <w:rPr>
                      <w:rFonts w:hint="default" w:ascii="Times New Roman" w:hAnsi="Times New Roman" w:cs="Times New Roman"/>
                      <w:color w:val="auto"/>
                      <w:szCs w:val="21"/>
                      <w:highlight w:val="none"/>
                    </w:rPr>
                    <w:fldChar w:fldCharType="separate"/>
                  </w:r>
                  <w:r>
                    <w:rPr>
                      <w:rFonts w:hint="default" w:ascii="Times New Roman" w:hAnsi="Times New Roman" w:cs="Times New Roman"/>
                      <w:color w:val="auto"/>
                      <w:szCs w:val="21"/>
                      <w:highlight w:val="none"/>
                    </w:rPr>
                    <w:t>⑩</w:t>
                  </w:r>
                  <w:r>
                    <w:rPr>
                      <w:rFonts w:hint="default" w:ascii="Times New Roman" w:hAnsi="Times New Roman" w:cs="Times New Roman"/>
                      <w:color w:val="auto"/>
                      <w:szCs w:val="21"/>
                      <w:highlight w:val="none"/>
                    </w:rPr>
                    <w:fldChar w:fldCharType="end"/>
                  </w:r>
                  <w:r>
                    <w:rPr>
                      <w:rFonts w:hint="default" w:ascii="Times New Roman" w:hAnsi="Times New Roman" w:cs="Times New Roman"/>
                      <w:color w:val="auto"/>
                      <w:szCs w:val="21"/>
                      <w:highlight w:val="none"/>
                    </w:rPr>
                    <w:t>活性炭更换量=单次活性炭更换量×更换次数。</w:t>
                  </w:r>
                </w:p>
                <w:p w14:paraId="518196DE">
                  <w:pPr>
                    <w:widowControl w:val="0"/>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本项目设计的两级炭箱总活性炭装载量为</w:t>
                  </w:r>
                  <w:r>
                    <w:rPr>
                      <w:rFonts w:hint="eastAsia" w:ascii="Times New Roman" w:hAnsi="Times New Roman" w:cs="Times New Roman"/>
                      <w:color w:val="auto"/>
                      <w:szCs w:val="21"/>
                      <w:highlight w:val="none"/>
                      <w:lang w:val="en-US" w:eastAsia="zh-CN"/>
                    </w:rPr>
                    <w:t>1.131</w:t>
                  </w:r>
                  <w:r>
                    <w:rPr>
                      <w:rFonts w:hint="default" w:ascii="Times New Roman" w:hAnsi="Times New Roman" w:cs="Times New Roman"/>
                      <w:color w:val="auto"/>
                      <w:szCs w:val="21"/>
                      <w:highlight w:val="none"/>
                    </w:rPr>
                    <w:t>t，建议每</w:t>
                  </w:r>
                  <w:r>
                    <w:rPr>
                      <w:rFonts w:hint="eastAsia" w:cs="Times New Roman"/>
                      <w:color w:val="auto"/>
                      <w:szCs w:val="21"/>
                      <w:highlight w:val="none"/>
                      <w:lang w:val="en-US" w:eastAsia="zh-CN"/>
                    </w:rPr>
                    <w:t>季度</w:t>
                  </w:r>
                  <w:r>
                    <w:rPr>
                      <w:rFonts w:hint="default" w:ascii="Times New Roman" w:hAnsi="Times New Roman" w:cs="Times New Roman"/>
                      <w:color w:val="auto"/>
                      <w:szCs w:val="21"/>
                      <w:highlight w:val="none"/>
                    </w:rPr>
                    <w:t>更换</w:t>
                  </w:r>
                  <w:r>
                    <w:rPr>
                      <w:rFonts w:hint="eastAsia" w:cs="Times New Roman"/>
                      <w:color w:val="auto"/>
                      <w:szCs w:val="21"/>
                      <w:highlight w:val="none"/>
                      <w:lang w:val="en-US" w:eastAsia="zh-CN"/>
                    </w:rPr>
                    <w:t>4</w:t>
                  </w:r>
                  <w:r>
                    <w:rPr>
                      <w:rFonts w:hint="default" w:ascii="Times New Roman" w:hAnsi="Times New Roman" w:cs="Times New Roman"/>
                      <w:color w:val="auto"/>
                      <w:szCs w:val="21"/>
                      <w:highlight w:val="none"/>
                    </w:rPr>
                    <w:t>次。活性炭更换量=</w:t>
                  </w:r>
                  <w:r>
                    <w:rPr>
                      <w:rFonts w:hint="eastAsia" w:ascii="Times New Roman" w:hAnsi="Times New Roman" w:cs="Times New Roman"/>
                      <w:color w:val="auto"/>
                      <w:szCs w:val="21"/>
                      <w:highlight w:val="none"/>
                      <w:lang w:val="en-US" w:eastAsia="zh-CN"/>
                    </w:rPr>
                    <w:t>1.131</w:t>
                  </w: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4</w:t>
                  </w: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4.524</w:t>
                  </w:r>
                  <w:r>
                    <w:rPr>
                      <w:rFonts w:hint="default" w:ascii="Times New Roman" w:hAnsi="Times New Roman" w:cs="Times New Roman"/>
                      <w:color w:val="auto"/>
                      <w:szCs w:val="21"/>
                      <w:highlight w:val="none"/>
                    </w:rPr>
                    <w:t>t/a。</w:t>
                  </w:r>
                </w:p>
                <w:p w14:paraId="5E0FE235">
                  <w:pPr>
                    <w:widowControl w:val="0"/>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根据阳江市生态环境局办公室关于印发《阳江市涉VOCs企业活性炭智慧监管工作方案（试行）》的通知（阳环办函〔2025〕376号）中活性炭更换周期计算公式：</w:t>
                  </w:r>
                </w:p>
                <w:p w14:paraId="61B39934">
                  <w:pPr>
                    <w:widowControl w:val="0"/>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T(d)=M×S÷C÷10</w:t>
                  </w:r>
                  <w:r>
                    <w:rPr>
                      <w:rFonts w:hint="default" w:ascii="Times New Roman" w:hAnsi="Times New Roman" w:cs="Times New Roman"/>
                      <w:color w:val="auto"/>
                      <w:szCs w:val="21"/>
                      <w:highlight w:val="none"/>
                      <w:vertAlign w:val="superscript"/>
                    </w:rPr>
                    <w:t>-6</w:t>
                  </w:r>
                  <w:r>
                    <w:rPr>
                      <w:rFonts w:hint="default" w:ascii="Times New Roman" w:hAnsi="Times New Roman" w:cs="Times New Roman"/>
                      <w:color w:val="auto"/>
                      <w:szCs w:val="21"/>
                      <w:highlight w:val="none"/>
                    </w:rPr>
                    <w:t>÷Q÷t</w:t>
                  </w:r>
                </w:p>
                <w:p w14:paraId="066EDE5B">
                  <w:pPr>
                    <w:widowControl w:val="0"/>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式中：</w:t>
                  </w:r>
                </w:p>
                <w:p w14:paraId="5C689434">
                  <w:pPr>
                    <w:widowControl w:val="0"/>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T—更换周期，d；</w:t>
                  </w:r>
                </w:p>
                <w:p w14:paraId="5D811C57">
                  <w:pPr>
                    <w:widowControl w:val="0"/>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M—活性炭的用量，kg，项目两级活性炭装载量为</w:t>
                  </w:r>
                  <w:r>
                    <w:rPr>
                      <w:rFonts w:hint="eastAsia" w:ascii="Times New Roman" w:hAnsi="Times New Roman" w:cs="Times New Roman"/>
                      <w:color w:val="auto"/>
                      <w:szCs w:val="21"/>
                      <w:highlight w:val="none"/>
                      <w:lang w:val="en-US" w:eastAsia="zh-CN"/>
                    </w:rPr>
                    <w:t>1131</w:t>
                  </w:r>
                  <w:r>
                    <w:rPr>
                      <w:rFonts w:hint="default" w:ascii="Times New Roman" w:hAnsi="Times New Roman" w:cs="Times New Roman"/>
                      <w:color w:val="auto"/>
                      <w:szCs w:val="21"/>
                      <w:highlight w:val="none"/>
                    </w:rPr>
                    <w:t>kg；</w:t>
                  </w:r>
                </w:p>
                <w:p w14:paraId="3228D8E5">
                  <w:pPr>
                    <w:widowControl w:val="0"/>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S—动态吸附量，%，取值（15%）；</w:t>
                  </w:r>
                </w:p>
                <w:p w14:paraId="2DEB6822">
                  <w:pPr>
                    <w:widowControl w:val="0"/>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C—活性炭削减的VOCs浓度，mg/m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，根据上文计算，VOCs产生的浓度为</w:t>
                  </w:r>
                  <w:r>
                    <w:rPr>
                      <w:rFonts w:hint="eastAsia" w:cs="Times New Roman"/>
                      <w:color w:val="auto"/>
                      <w:szCs w:val="21"/>
                      <w:highlight w:val="none"/>
                      <w:lang w:val="en-US" w:eastAsia="zh-CN"/>
                    </w:rPr>
                    <w:t>4.55</w:t>
                  </w:r>
                  <w:r>
                    <w:rPr>
                      <w:rFonts w:hint="default" w:ascii="Times New Roman" w:hAnsi="Times New Roman" w:cs="Times New Roman"/>
                      <w:color w:val="auto"/>
                      <w:szCs w:val="21"/>
                      <w:highlight w:val="none"/>
                    </w:rPr>
                    <w:t>mg/m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，排放浓度为</w:t>
                  </w:r>
                  <w:r>
                    <w:rPr>
                      <w:rFonts w:hint="eastAsia" w:cs="Times New Roman"/>
                      <w:color w:val="auto"/>
                      <w:szCs w:val="21"/>
                      <w:highlight w:val="none"/>
                      <w:lang w:val="en-US" w:eastAsia="zh-CN"/>
                    </w:rPr>
                    <w:t>0.91</w:t>
                  </w:r>
                  <w:r>
                    <w:rPr>
                      <w:rFonts w:hint="default" w:ascii="Times New Roman" w:hAnsi="Times New Roman" w:cs="Times New Roman"/>
                      <w:color w:val="auto"/>
                      <w:szCs w:val="21"/>
                      <w:highlight w:val="none"/>
                    </w:rPr>
                    <w:t>mg/m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，削减的VOCs浓度为</w:t>
                  </w:r>
                  <w:r>
                    <w:rPr>
                      <w:rFonts w:hint="eastAsia" w:cs="Times New Roman"/>
                      <w:color w:val="auto"/>
                      <w:szCs w:val="21"/>
                      <w:highlight w:val="none"/>
                      <w:lang w:val="en-US" w:eastAsia="zh-CN"/>
                    </w:rPr>
                    <w:t>3.64</w:t>
                  </w:r>
                  <w:r>
                    <w:rPr>
                      <w:rFonts w:hint="default" w:ascii="Times New Roman" w:hAnsi="Times New Roman" w:cs="Times New Roman"/>
                      <w:color w:val="auto"/>
                      <w:szCs w:val="21"/>
                      <w:highlight w:val="none"/>
                    </w:rPr>
                    <w:t>mg/m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w:t>
                  </w:r>
                </w:p>
                <w:p w14:paraId="4F4A2249">
                  <w:pPr>
                    <w:widowControl w:val="0"/>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Q—风量，m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/h，项目活性炭吸附装置风量为</w:t>
                  </w:r>
                  <w:r>
                    <w:rPr>
                      <w:rFonts w:hint="eastAsia" w:ascii="Times New Roman" w:hAnsi="Times New Roman" w:cs="Times New Roman"/>
                      <w:color w:val="auto"/>
                      <w:szCs w:val="21"/>
                      <w:highlight w:val="none"/>
                      <w:lang w:eastAsia="zh-CN"/>
                    </w:rPr>
                    <w:t>8000</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/h；</w:t>
                  </w:r>
                </w:p>
                <w:p w14:paraId="6C9A7149">
                  <w:pPr>
                    <w:widowControl w:val="0"/>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t—运行时间，h/d，项目每天运行</w:t>
                  </w:r>
                  <w:r>
                    <w:rPr>
                      <w:rFonts w:hint="eastAsia" w:ascii="Times New Roman" w:hAnsi="Times New Roman" w:cs="Times New Roman"/>
                      <w:color w:val="auto"/>
                      <w:szCs w:val="21"/>
                      <w:highlight w:val="none"/>
                      <w:lang w:val="en-US" w:eastAsia="zh-CN"/>
                    </w:rPr>
                    <w:t>8</w:t>
                  </w:r>
                  <w:r>
                    <w:rPr>
                      <w:rFonts w:hint="default" w:ascii="Times New Roman" w:hAnsi="Times New Roman" w:cs="Times New Roman"/>
                      <w:color w:val="auto"/>
                      <w:szCs w:val="21"/>
                      <w:highlight w:val="none"/>
                    </w:rPr>
                    <w:t>小时。</w:t>
                  </w:r>
                </w:p>
                <w:p w14:paraId="03FC53C6">
                  <w:pPr>
                    <w:widowControl w:val="0"/>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T（d）=</w:t>
                  </w:r>
                  <w:r>
                    <w:rPr>
                      <w:rFonts w:hint="eastAsia" w:ascii="Times New Roman" w:hAnsi="Times New Roman" w:cs="Times New Roman"/>
                      <w:color w:val="auto"/>
                      <w:szCs w:val="21"/>
                      <w:highlight w:val="none"/>
                      <w:lang w:val="en-US" w:eastAsia="zh-CN"/>
                    </w:rPr>
                    <w:t>1131</w:t>
                  </w:r>
                  <w:r>
                    <w:rPr>
                      <w:rFonts w:hint="default" w:ascii="Times New Roman" w:hAnsi="Times New Roman" w:cs="Times New Roman"/>
                      <w:color w:val="auto"/>
                      <w:szCs w:val="21"/>
                      <w:highlight w:val="none"/>
                    </w:rPr>
                    <w:t>×15%÷</w:t>
                  </w:r>
                  <w:r>
                    <w:rPr>
                      <w:rFonts w:hint="eastAsia" w:cs="Times New Roman"/>
                      <w:color w:val="auto"/>
                      <w:szCs w:val="21"/>
                      <w:highlight w:val="none"/>
                      <w:lang w:val="en-US" w:eastAsia="zh-CN"/>
                    </w:rPr>
                    <w:t>3.64</w:t>
                  </w:r>
                  <w:r>
                    <w:rPr>
                      <w:rFonts w:hint="default" w:ascii="Times New Roman" w:hAnsi="Times New Roman" w:cs="Times New Roman"/>
                      <w:color w:val="auto"/>
                      <w:szCs w:val="21"/>
                      <w:highlight w:val="none"/>
                    </w:rPr>
                    <w:t>÷10</w:t>
                  </w:r>
                  <w:r>
                    <w:rPr>
                      <w:rFonts w:hint="default" w:ascii="Times New Roman" w:hAnsi="Times New Roman" w:cs="Times New Roman"/>
                      <w:color w:val="auto"/>
                      <w:szCs w:val="21"/>
                      <w:highlight w:val="none"/>
                      <w:vertAlign w:val="superscript"/>
                    </w:rPr>
                    <w:t>-6</w:t>
                  </w:r>
                  <w:r>
                    <w:rPr>
                      <w:rFonts w:hint="default" w:ascii="Times New Roman" w:hAnsi="Times New Roman" w:cs="Times New Roman"/>
                      <w:color w:val="auto"/>
                      <w:szCs w:val="21"/>
                      <w:highlight w:val="none"/>
                    </w:rPr>
                    <w:t>÷</w:t>
                  </w:r>
                  <w:r>
                    <w:rPr>
                      <w:rFonts w:hint="eastAsia" w:ascii="Times New Roman" w:hAnsi="Times New Roman" w:cs="Times New Roman"/>
                      <w:color w:val="auto"/>
                      <w:szCs w:val="21"/>
                      <w:highlight w:val="none"/>
                      <w:lang w:eastAsia="zh-CN"/>
                    </w:rPr>
                    <w:t>8000</w:t>
                  </w:r>
                  <w:r>
                    <w:rPr>
                      <w:rFonts w:hint="default" w:ascii="Times New Roman" w:hAnsi="Times New Roman" w:cs="Times New Roman"/>
                      <w:color w:val="auto"/>
                      <w:szCs w:val="21"/>
                      <w:highlight w:val="none"/>
                    </w:rPr>
                    <w:t>÷</w:t>
                  </w:r>
                  <w:r>
                    <w:rPr>
                      <w:rFonts w:hint="eastAsia" w:ascii="Times New Roman" w:hAnsi="Times New Roman" w:cs="Times New Roman"/>
                      <w:color w:val="auto"/>
                      <w:szCs w:val="21"/>
                      <w:highlight w:val="none"/>
                      <w:lang w:val="en-US" w:eastAsia="zh-CN"/>
                    </w:rPr>
                    <w:t>8</w:t>
                  </w: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728</w:t>
                  </w:r>
                  <w:r>
                    <w:rPr>
                      <w:rFonts w:hint="default" w:ascii="Times New Roman" w:hAnsi="Times New Roman" w:cs="Times New Roman"/>
                      <w:color w:val="auto"/>
                      <w:szCs w:val="21"/>
                      <w:highlight w:val="none"/>
                    </w:rPr>
                    <w:t>天。</w:t>
                  </w:r>
                </w:p>
                <w:p w14:paraId="04162B7D">
                  <w:pPr>
                    <w:widowControl w:val="0"/>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经计算，活性炭更换周期为</w:t>
                  </w:r>
                  <w:r>
                    <w:rPr>
                      <w:rFonts w:hint="eastAsia" w:cs="Times New Roman"/>
                      <w:color w:val="auto"/>
                      <w:szCs w:val="21"/>
                      <w:highlight w:val="none"/>
                      <w:lang w:val="en-US" w:eastAsia="zh-CN"/>
                    </w:rPr>
                    <w:t>728</w:t>
                  </w:r>
                  <w:r>
                    <w:rPr>
                      <w:rFonts w:hint="default" w:ascii="Times New Roman" w:hAnsi="Times New Roman" w:cs="Times New Roman"/>
                      <w:color w:val="auto"/>
                      <w:szCs w:val="21"/>
                      <w:highlight w:val="none"/>
                    </w:rPr>
                    <w:t>天</w:t>
                  </w:r>
                  <w:r>
                    <w:rPr>
                      <w:rFonts w:hint="default" w:ascii="Times New Roman" w:hAnsi="Times New Roman" w:cs="Times New Roman"/>
                      <w:color w:val="auto"/>
                      <w:szCs w:val="21"/>
                      <w:highlight w:val="none"/>
                    </w:rPr>
                    <w:t>，每年更换次数为300÷</w:t>
                  </w:r>
                  <w:r>
                    <w:rPr>
                      <w:rFonts w:hint="eastAsia" w:cs="Times New Roman"/>
                      <w:color w:val="auto"/>
                      <w:szCs w:val="21"/>
                      <w:highlight w:val="none"/>
                      <w:lang w:val="en-US" w:eastAsia="zh-CN"/>
                    </w:rPr>
                    <w:t>728=</w:t>
                  </w:r>
                  <w:r>
                    <w:rPr>
                      <w:rFonts w:hint="eastAsia" w:ascii="Times New Roman" w:hAnsi="Times New Roman" w:cs="Times New Roman"/>
                      <w:color w:val="auto"/>
                      <w:szCs w:val="21"/>
                      <w:highlight w:val="none"/>
                      <w:lang w:val="en-US" w:eastAsia="zh-CN"/>
                    </w:rPr>
                    <w:t>0.</w:t>
                  </w:r>
                  <w:r>
                    <w:rPr>
                      <w:rFonts w:hint="eastAsia" w:cs="Times New Roman"/>
                      <w:color w:val="auto"/>
                      <w:szCs w:val="21"/>
                      <w:highlight w:val="none"/>
                      <w:lang w:val="en-US" w:eastAsia="zh-CN"/>
                    </w:rPr>
                    <w:t>41</w:t>
                  </w:r>
                  <w:r>
                    <w:rPr>
                      <w:rFonts w:hint="default" w:ascii="Times New Roman" w:hAnsi="Times New Roman" w:cs="Times New Roman"/>
                      <w:color w:val="auto"/>
                      <w:szCs w:val="21"/>
                      <w:highlight w:val="none"/>
                    </w:rPr>
                    <w:t>次。</w:t>
                  </w:r>
                </w:p>
                <w:p w14:paraId="09DEC1A4">
                  <w:pPr>
                    <w:widowControl w:val="0"/>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综合上述，活性炭每</w:t>
                  </w:r>
                  <w:r>
                    <w:rPr>
                      <w:rFonts w:hint="eastAsia" w:cs="Times New Roman"/>
                      <w:color w:val="auto"/>
                      <w:szCs w:val="21"/>
                      <w:highlight w:val="none"/>
                      <w:lang w:val="en-US" w:eastAsia="zh-CN"/>
                    </w:rPr>
                    <w:t>季度</w:t>
                  </w:r>
                  <w:r>
                    <w:rPr>
                      <w:rFonts w:hint="default" w:ascii="Times New Roman" w:hAnsi="Times New Roman" w:cs="Times New Roman"/>
                      <w:color w:val="auto"/>
                      <w:szCs w:val="21"/>
                      <w:highlight w:val="none"/>
                    </w:rPr>
                    <w:t>更换一次</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每年更换</w:t>
                  </w:r>
                  <w:r>
                    <w:rPr>
                      <w:rFonts w:hint="eastAsia" w:ascii="Times New Roman" w:hAnsi="Times New Roman" w:cs="Times New Roman"/>
                      <w:color w:val="auto"/>
                      <w:szCs w:val="21"/>
                      <w:highlight w:val="none"/>
                      <w:lang w:val="en-US" w:eastAsia="zh-CN"/>
                    </w:rPr>
                    <w:t>4</w:t>
                  </w:r>
                  <w:r>
                    <w:rPr>
                      <w:rFonts w:hint="default" w:ascii="Times New Roman" w:hAnsi="Times New Roman" w:cs="Times New Roman"/>
                      <w:color w:val="auto"/>
                      <w:szCs w:val="21"/>
                      <w:highlight w:val="none"/>
                    </w:rPr>
                    <w:t>次</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每年更换的活性炭量为</w:t>
                  </w:r>
                  <w:r>
                    <w:rPr>
                      <w:rFonts w:hint="eastAsia" w:ascii="Times New Roman" w:hAnsi="Times New Roman" w:cs="Times New Roman"/>
                      <w:color w:val="auto"/>
                      <w:szCs w:val="21"/>
                      <w:highlight w:val="none"/>
                      <w:lang w:val="en-US" w:eastAsia="zh-CN"/>
                    </w:rPr>
                    <w:t>1.131</w:t>
                  </w:r>
                  <w:r>
                    <w:rPr>
                      <w:rFonts w:hint="default" w:ascii="Times New Roman" w:hAnsi="Times New Roman" w:cs="Times New Roman"/>
                      <w:color w:val="auto"/>
                      <w:szCs w:val="21"/>
                      <w:highlight w:val="none"/>
                    </w:rPr>
                    <w:t>t/次×</w:t>
                  </w:r>
                  <w:r>
                    <w:rPr>
                      <w:rFonts w:hint="eastAsia" w:cs="Times New Roman"/>
                      <w:color w:val="auto"/>
                      <w:szCs w:val="21"/>
                      <w:highlight w:val="none"/>
                      <w:lang w:val="en-US" w:eastAsia="zh-CN"/>
                    </w:rPr>
                    <w:t>4</w:t>
                  </w: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4.524</w:t>
                  </w:r>
                  <w:r>
                    <w:rPr>
                      <w:rFonts w:hint="default" w:ascii="Times New Roman" w:hAnsi="Times New Roman" w:cs="Times New Roman"/>
                      <w:color w:val="auto"/>
                      <w:szCs w:val="21"/>
                      <w:highlight w:val="none"/>
                    </w:rPr>
                    <w:t>t。</w:t>
                  </w:r>
                  <w:r>
                    <w:rPr>
                      <w:rFonts w:hint="eastAsia" w:cs="Times New Roman"/>
                      <w:color w:val="auto"/>
                      <w:szCs w:val="21"/>
                      <w:highlight w:val="none"/>
                      <w:lang w:val="en-US" w:eastAsia="zh-CN"/>
                    </w:rPr>
                    <w:t>为保持活性炭活性，建设单位每季度将调整活性炭层的位置。</w:t>
                  </w:r>
                </w:p>
                <w:p w14:paraId="27A6FC3E">
                  <w:pPr>
                    <w:spacing w:line="360" w:lineRule="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备注：活性炭更换次数根据企业当年实际生产情况进行确定。</w:t>
                  </w:r>
                </w:p>
              </w:tc>
            </w:tr>
          </w:tbl>
          <w:p w14:paraId="1B45E862">
            <w:pPr>
              <w:pStyle w:val="80"/>
              <w:ind w:firstLine="480" w:firstLineChars="200"/>
              <w:rPr>
                <w:rFonts w:hint="default" w:ascii="Times New Roman" w:hAnsi="Times New Roman" w:cs="Times New Roman"/>
                <w:color w:val="auto"/>
                <w:sz w:val="24"/>
                <w:szCs w:val="32"/>
                <w:highlight w:val="none"/>
              </w:rPr>
            </w:pPr>
            <w:r>
              <w:rPr>
                <w:rFonts w:hint="default" w:ascii="Times New Roman" w:hAnsi="Times New Roman" w:cs="Times New Roman"/>
                <w:color w:val="auto"/>
                <w:sz w:val="24"/>
                <w:szCs w:val="32"/>
                <w:highlight w:val="none"/>
              </w:rPr>
              <w:t>项目两级活性炭安装及处理风向示意图详见图4-</w:t>
            </w:r>
            <w:r>
              <w:rPr>
                <w:rFonts w:hint="eastAsia" w:ascii="Times New Roman" w:cs="Times New Roman"/>
                <w:color w:val="auto"/>
                <w:sz w:val="24"/>
                <w:szCs w:val="32"/>
                <w:highlight w:val="none"/>
                <w:lang w:val="en-US" w:eastAsia="zh-CN"/>
              </w:rPr>
              <w:t>1</w:t>
            </w:r>
            <w:r>
              <w:rPr>
                <w:rFonts w:hint="eastAsia" w:ascii="Times New Roman" w:hAnsi="Times New Roman" w:cs="Times New Roman"/>
                <w:color w:val="auto"/>
                <w:sz w:val="24"/>
                <w:szCs w:val="32"/>
                <w:highlight w:val="none"/>
                <w:lang w:val="en-US" w:eastAsia="zh-CN"/>
              </w:rPr>
              <w:t>和</w:t>
            </w:r>
            <w:r>
              <w:rPr>
                <w:rFonts w:hint="default" w:ascii="Times New Roman" w:hAnsi="Times New Roman" w:cs="Times New Roman"/>
                <w:color w:val="auto"/>
                <w:sz w:val="24"/>
                <w:szCs w:val="32"/>
                <w:highlight w:val="none"/>
              </w:rPr>
              <w:t>图4-</w:t>
            </w:r>
            <w:r>
              <w:rPr>
                <w:rFonts w:hint="eastAsia" w:ascii="Times New Roman" w:cs="Times New Roman"/>
                <w:color w:val="auto"/>
                <w:sz w:val="24"/>
                <w:szCs w:val="32"/>
                <w:highlight w:val="none"/>
                <w:lang w:val="en-US" w:eastAsia="zh-CN"/>
              </w:rPr>
              <w:t>2</w:t>
            </w:r>
            <w:r>
              <w:rPr>
                <w:rFonts w:hint="default" w:ascii="Times New Roman" w:hAnsi="Times New Roman" w:cs="Times New Roman"/>
                <w:color w:val="auto"/>
                <w:sz w:val="24"/>
                <w:szCs w:val="32"/>
                <w:highlight w:val="none"/>
              </w:rPr>
              <w:t>。</w:t>
            </w:r>
          </w:p>
          <w:p w14:paraId="571B0CE7">
            <w:pPr>
              <w:adjustRightInd w:val="0"/>
              <w:snapToGrid w:val="0"/>
              <w:spacing w:line="360" w:lineRule="auto"/>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drawing>
                <wp:inline distT="0" distB="0" distL="114300" distR="114300">
                  <wp:extent cx="5163185" cy="2436495"/>
                  <wp:effectExtent l="0" t="0" r="5715" b="1905"/>
                  <wp:docPr id="96" name="图片 3" descr="活性炭设施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3" descr="活性炭设施图片3"/>
                          <pic:cNvPicPr>
                            <a:picLocks noChangeAspect="1"/>
                          </pic:cNvPicPr>
                        </pic:nvPicPr>
                        <pic:blipFill>
                          <a:blip r:embed="rId14"/>
                          <a:stretch>
                            <a:fillRect/>
                          </a:stretch>
                        </pic:blipFill>
                        <pic:spPr>
                          <a:xfrm>
                            <a:off x="0" y="0"/>
                            <a:ext cx="5163185" cy="2436495"/>
                          </a:xfrm>
                          <a:prstGeom prst="rect">
                            <a:avLst/>
                          </a:prstGeom>
                          <a:noFill/>
                          <a:ln>
                            <a:noFill/>
                          </a:ln>
                        </pic:spPr>
                      </pic:pic>
                    </a:graphicData>
                  </a:graphic>
                </wp:inline>
              </w:drawing>
            </w:r>
          </w:p>
          <w:p w14:paraId="66825D9F">
            <w:pPr>
              <w:pStyle w:val="8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图4-</w:t>
            </w:r>
            <w:r>
              <w:rPr>
                <w:rFonts w:hint="eastAsia" w:ascii="Times New Roman" w:cs="Times New Roman"/>
                <w:b/>
                <w:color w:val="auto"/>
                <w:sz w:val="21"/>
                <w:szCs w:val="21"/>
                <w:highlight w:val="none"/>
                <w:lang w:val="en-US" w:eastAsia="zh-CN"/>
              </w:rPr>
              <w:t>1</w:t>
            </w:r>
            <w:r>
              <w:rPr>
                <w:rFonts w:hint="default" w:ascii="Times New Roman" w:hAnsi="Times New Roman" w:cs="Times New Roman"/>
                <w:b/>
                <w:color w:val="auto"/>
                <w:sz w:val="21"/>
                <w:szCs w:val="21"/>
                <w:highlight w:val="none"/>
              </w:rPr>
              <w:t>活性炭吸附装备安装图</w:t>
            </w:r>
          </w:p>
          <w:p w14:paraId="1E64593A">
            <w:pPr>
              <w:pStyle w:val="81"/>
              <w:rPr>
                <w:rFonts w:hint="default"/>
                <w:color w:val="auto"/>
              </w:rPr>
            </w:pPr>
          </w:p>
          <w:p w14:paraId="6B853CE9">
            <w:pPr>
              <w:adjustRightInd w:val="0"/>
              <w:snapToGrid w:val="0"/>
              <w:spacing w:line="360" w:lineRule="auto"/>
              <w:jc w:val="center"/>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eastAsia="zh-CN"/>
              </w:rPr>
              <w:drawing>
                <wp:inline distT="0" distB="0" distL="114300" distR="114300">
                  <wp:extent cx="5000625" cy="3137535"/>
                  <wp:effectExtent l="0" t="0" r="3175" b="12065"/>
                  <wp:docPr id="97" name="图片 4" descr="活性炭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4" descr="活性炭2"/>
                          <pic:cNvPicPr>
                            <a:picLocks noChangeAspect="1"/>
                          </pic:cNvPicPr>
                        </pic:nvPicPr>
                        <pic:blipFill>
                          <a:blip r:embed="rId15"/>
                          <a:stretch>
                            <a:fillRect/>
                          </a:stretch>
                        </pic:blipFill>
                        <pic:spPr>
                          <a:xfrm>
                            <a:off x="0" y="0"/>
                            <a:ext cx="5000625" cy="3137535"/>
                          </a:xfrm>
                          <a:prstGeom prst="rect">
                            <a:avLst/>
                          </a:prstGeom>
                          <a:noFill/>
                          <a:ln>
                            <a:noFill/>
                          </a:ln>
                        </pic:spPr>
                      </pic:pic>
                    </a:graphicData>
                  </a:graphic>
                </wp:inline>
              </w:drawing>
            </w:r>
          </w:p>
          <w:p w14:paraId="24FD48E5">
            <w:pPr>
              <w:adjustRightInd w:val="0"/>
              <w:snapToGrid w:val="0"/>
              <w:spacing w:line="360" w:lineRule="auto"/>
              <w:ind w:firstLine="422" w:firstLineChars="200"/>
              <w:jc w:val="center"/>
              <w:rPr>
                <w:rFonts w:hint="default" w:ascii="Times New Roman" w:hAnsi="Times New Roman" w:cs="Times New Roman"/>
                <w:color w:val="auto"/>
                <w:szCs w:val="21"/>
                <w:highlight w:val="none"/>
              </w:rPr>
            </w:pPr>
            <w:r>
              <w:rPr>
                <w:rFonts w:hint="default" w:ascii="Times New Roman" w:hAnsi="Times New Roman" w:cs="Times New Roman"/>
                <w:b/>
                <w:color w:val="auto"/>
                <w:szCs w:val="21"/>
                <w:highlight w:val="none"/>
              </w:rPr>
              <w:t>图4-</w:t>
            </w:r>
            <w:r>
              <w:rPr>
                <w:rFonts w:hint="eastAsia" w:cs="Times New Roman"/>
                <w:b/>
                <w:color w:val="auto"/>
                <w:szCs w:val="21"/>
                <w:highlight w:val="none"/>
                <w:lang w:val="en-US" w:eastAsia="zh-CN"/>
              </w:rPr>
              <w:t>2</w:t>
            </w:r>
            <w:r>
              <w:rPr>
                <w:rFonts w:hint="eastAsia" w:ascii="Times New Roman" w:hAnsi="Times New Roman" w:cs="Times New Roman"/>
                <w:b/>
                <w:color w:val="auto"/>
                <w:szCs w:val="21"/>
                <w:highlight w:val="none"/>
                <w:lang w:val="en-US" w:eastAsia="zh-CN"/>
              </w:rPr>
              <w:t xml:space="preserve"> </w:t>
            </w:r>
            <w:r>
              <w:rPr>
                <w:rFonts w:hint="default" w:ascii="Times New Roman" w:hAnsi="Times New Roman" w:cs="Times New Roman"/>
                <w:b/>
                <w:color w:val="auto"/>
                <w:szCs w:val="21"/>
                <w:highlight w:val="none"/>
              </w:rPr>
              <w:t>活性炭废气处理内部结构示意图</w:t>
            </w:r>
          </w:p>
          <w:p w14:paraId="7A74DEC6">
            <w:pPr>
              <w:pStyle w:val="18"/>
              <w:keepNext w:val="0"/>
              <w:keepLines w:val="0"/>
              <w:suppressLineNumbers w:val="0"/>
              <w:spacing w:beforeAutospacing="0" w:afterAutospacing="0"/>
              <w:ind w:left="0"/>
              <w:rPr>
                <w:rFonts w:hint="eastAsia" w:ascii="Times New Roman" w:hAnsi="Times New Roman" w:cs="Times New Roman"/>
                <w:color w:val="auto"/>
                <w:kern w:val="2"/>
                <w:sz w:val="24"/>
                <w:szCs w:val="24"/>
                <w:highlight w:val="none"/>
                <w:vertAlign w:val="baseline"/>
                <w:lang w:val="en-US" w:eastAsia="zh-CN" w:bidi="ar-SA"/>
              </w:rPr>
            </w:pPr>
            <w:r>
              <w:rPr>
                <w:rFonts w:hint="eastAsia" w:ascii="Times New Roman" w:hAnsi="Times New Roman" w:cs="Times New Roman"/>
                <w:color w:val="auto"/>
                <w:kern w:val="2"/>
                <w:sz w:val="24"/>
                <w:szCs w:val="24"/>
                <w:highlight w:val="none"/>
                <w:vertAlign w:val="baseline"/>
                <w:lang w:val="en-US" w:eastAsia="zh-CN" w:bidi="ar-SA"/>
              </w:rPr>
              <w:t xml:space="preserve">   </w:t>
            </w:r>
            <w:r>
              <w:rPr>
                <w:rFonts w:hint="eastAsia" w:ascii="宋体" w:hAnsi="宋体" w:eastAsia="宋体" w:cs="宋体"/>
                <w:color w:val="auto"/>
                <w:kern w:val="2"/>
                <w:sz w:val="24"/>
                <w:szCs w:val="24"/>
                <w:highlight w:val="none"/>
                <w:vertAlign w:val="baseline"/>
                <w:lang w:val="en-US" w:eastAsia="zh-CN" w:bidi="ar-SA"/>
              </w:rPr>
              <w:t>⑥</w:t>
            </w:r>
            <w:r>
              <w:rPr>
                <w:rFonts w:hint="eastAsia" w:ascii="Times New Roman" w:hAnsi="Times New Roman" w:cs="Times New Roman"/>
                <w:color w:val="auto"/>
                <w:kern w:val="2"/>
                <w:sz w:val="24"/>
                <w:szCs w:val="24"/>
                <w:highlight w:val="none"/>
                <w:vertAlign w:val="baseline"/>
                <w:lang w:val="en-US" w:eastAsia="zh-CN" w:bidi="ar-SA"/>
              </w:rPr>
              <w:t>排气筒DA001废气产生及排放核算</w:t>
            </w:r>
          </w:p>
          <w:p w14:paraId="39DE23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82"/>
              <w:jc w:val="center"/>
              <w:textAlignment w:val="auto"/>
              <w:rPr>
                <w:rFonts w:hint="eastAsia" w:ascii="Times New Roman" w:hAnsi="Times New Roman" w:cs="Times New Roman"/>
                <w:b/>
                <w:bCs/>
                <w:color w:val="auto"/>
                <w:kern w:val="2"/>
                <w:sz w:val="21"/>
                <w:szCs w:val="21"/>
                <w:highlight w:val="none"/>
                <w:vertAlign w:val="baseline"/>
                <w:lang w:val="en-US" w:eastAsia="zh-CN" w:bidi="ar-SA"/>
              </w:rPr>
            </w:pPr>
            <w:r>
              <w:rPr>
                <w:rFonts w:hint="eastAsia" w:ascii="Times New Roman" w:hAnsi="Times New Roman" w:cs="Times New Roman"/>
                <w:b/>
                <w:bCs/>
                <w:color w:val="auto"/>
                <w:kern w:val="2"/>
                <w:sz w:val="21"/>
                <w:szCs w:val="21"/>
                <w:highlight w:val="none"/>
                <w:vertAlign w:val="baseline"/>
                <w:lang w:val="en-US" w:eastAsia="zh-CN" w:bidi="ar-SA"/>
              </w:rPr>
              <w:t>表</w:t>
            </w:r>
            <w:r>
              <w:rPr>
                <w:rFonts w:hint="eastAsia" w:cs="Times New Roman"/>
                <w:b/>
                <w:bCs/>
                <w:color w:val="auto"/>
                <w:kern w:val="2"/>
                <w:sz w:val="21"/>
                <w:szCs w:val="21"/>
                <w:highlight w:val="none"/>
                <w:vertAlign w:val="baseline"/>
                <w:lang w:val="en-US" w:eastAsia="zh-CN" w:bidi="ar-SA"/>
              </w:rPr>
              <w:t>4-4</w:t>
            </w:r>
            <w:r>
              <w:rPr>
                <w:rFonts w:hint="eastAsia" w:ascii="Times New Roman" w:hAnsi="Times New Roman" w:cs="Times New Roman"/>
                <w:b/>
                <w:bCs/>
                <w:color w:val="auto"/>
                <w:kern w:val="2"/>
                <w:sz w:val="21"/>
                <w:szCs w:val="21"/>
                <w:highlight w:val="none"/>
                <w:vertAlign w:val="baseline"/>
                <w:lang w:val="en-US" w:eastAsia="zh-CN" w:bidi="ar-SA"/>
              </w:rPr>
              <w:t xml:space="preserve"> 排气筒DA001废气产生及排放情况一览表</w:t>
            </w:r>
          </w:p>
          <w:tbl>
            <w:tblPr>
              <w:tblStyle w:val="32"/>
              <w:tblW w:w="7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7"/>
              <w:gridCol w:w="1379"/>
              <w:gridCol w:w="1809"/>
              <w:gridCol w:w="1521"/>
              <w:gridCol w:w="1413"/>
            </w:tblGrid>
            <w:tr w14:paraId="04010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4505" w:type="dxa"/>
                  <w:gridSpan w:val="3"/>
                  <w:noWrap w:val="0"/>
                  <w:vAlign w:val="center"/>
                </w:tcPr>
                <w:p w14:paraId="65B173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default" w:ascii="Times New Roman" w:hAnsi="Times New Roman" w:cs="Times New Roman"/>
                      <w:color w:val="auto"/>
                      <w:kern w:val="2"/>
                      <w:sz w:val="21"/>
                      <w:szCs w:val="21"/>
                      <w:highlight w:val="none"/>
                      <w:vertAlign w:val="baseline"/>
                      <w:lang w:val="en-US" w:eastAsia="zh-CN" w:bidi="ar-SA"/>
                    </w:rPr>
                    <w:t>排气筒编号</w:t>
                  </w:r>
                </w:p>
              </w:tc>
              <w:tc>
                <w:tcPr>
                  <w:tcW w:w="2934" w:type="dxa"/>
                  <w:gridSpan w:val="2"/>
                  <w:noWrap w:val="0"/>
                  <w:vAlign w:val="center"/>
                </w:tcPr>
                <w:p w14:paraId="58E6FC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default" w:ascii="Times New Roman" w:hAnsi="Times New Roman" w:cs="Times New Roman"/>
                      <w:color w:val="auto"/>
                      <w:kern w:val="2"/>
                      <w:sz w:val="21"/>
                      <w:szCs w:val="21"/>
                      <w:highlight w:val="none"/>
                      <w:vertAlign w:val="baseline"/>
                      <w:lang w:val="en-US" w:eastAsia="zh-CN" w:bidi="ar-SA"/>
                    </w:rPr>
                    <w:t>排气筒DA001</w:t>
                  </w:r>
                </w:p>
              </w:tc>
            </w:tr>
            <w:tr w14:paraId="0C3BB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4505" w:type="dxa"/>
                  <w:gridSpan w:val="3"/>
                  <w:noWrap w:val="0"/>
                  <w:vAlign w:val="center"/>
                </w:tcPr>
                <w:p w14:paraId="4AB651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default" w:ascii="Times New Roman" w:hAnsi="Times New Roman" w:cs="Times New Roman"/>
                      <w:color w:val="auto"/>
                      <w:kern w:val="2"/>
                      <w:sz w:val="21"/>
                      <w:szCs w:val="21"/>
                      <w:highlight w:val="none"/>
                      <w:vertAlign w:val="baseline"/>
                      <w:lang w:val="en-US" w:eastAsia="zh-CN" w:bidi="ar-SA"/>
                    </w:rPr>
                    <w:t>工序</w:t>
                  </w:r>
                </w:p>
              </w:tc>
              <w:tc>
                <w:tcPr>
                  <w:tcW w:w="1521" w:type="dxa"/>
                  <w:noWrap w:val="0"/>
                  <w:vAlign w:val="center"/>
                </w:tcPr>
                <w:p w14:paraId="5E6177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default" w:ascii="Times New Roman" w:hAnsi="Times New Roman" w:cs="Times New Roman"/>
                      <w:color w:val="auto"/>
                      <w:kern w:val="2"/>
                      <w:sz w:val="21"/>
                      <w:szCs w:val="21"/>
                      <w:highlight w:val="none"/>
                      <w:vertAlign w:val="baseline"/>
                      <w:lang w:val="en-US" w:eastAsia="zh-CN" w:bidi="ar-SA"/>
                    </w:rPr>
                    <w:t>调墨、润版、印刷、清洗油墨</w:t>
                  </w:r>
                  <w:r>
                    <w:rPr>
                      <w:rFonts w:hint="eastAsia" w:cs="Times New Roman"/>
                      <w:color w:val="auto"/>
                      <w:kern w:val="2"/>
                      <w:sz w:val="21"/>
                      <w:szCs w:val="21"/>
                      <w:highlight w:val="none"/>
                      <w:vertAlign w:val="baseline"/>
                      <w:lang w:val="en-US" w:eastAsia="zh-CN" w:bidi="ar-SA"/>
                    </w:rPr>
                    <w:t>、粘盒</w:t>
                  </w:r>
                </w:p>
              </w:tc>
              <w:tc>
                <w:tcPr>
                  <w:tcW w:w="1413" w:type="dxa"/>
                  <w:noWrap w:val="0"/>
                  <w:vAlign w:val="center"/>
                </w:tcPr>
                <w:p w14:paraId="307282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default" w:ascii="Times New Roman" w:hAnsi="Times New Roman" w:cs="Times New Roman"/>
                      <w:color w:val="auto"/>
                      <w:kern w:val="2"/>
                      <w:sz w:val="21"/>
                      <w:szCs w:val="21"/>
                      <w:highlight w:val="none"/>
                      <w:vertAlign w:val="baseline"/>
                      <w:lang w:val="en-US" w:eastAsia="zh-CN" w:bidi="ar-SA"/>
                    </w:rPr>
                    <w:t>过油</w:t>
                  </w:r>
                </w:p>
              </w:tc>
            </w:tr>
            <w:tr w14:paraId="0AEEB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4505" w:type="dxa"/>
                  <w:gridSpan w:val="3"/>
                  <w:noWrap w:val="0"/>
                  <w:vAlign w:val="center"/>
                </w:tcPr>
                <w:p w14:paraId="5992B8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default" w:ascii="Times New Roman" w:hAnsi="Times New Roman" w:cs="Times New Roman"/>
                      <w:color w:val="auto"/>
                      <w:kern w:val="2"/>
                      <w:sz w:val="21"/>
                      <w:szCs w:val="21"/>
                      <w:highlight w:val="none"/>
                      <w:vertAlign w:val="baseline"/>
                      <w:lang w:val="en-US" w:eastAsia="zh-CN" w:bidi="ar-SA"/>
                    </w:rPr>
                    <w:t>污染因子</w:t>
                  </w:r>
                </w:p>
              </w:tc>
              <w:tc>
                <w:tcPr>
                  <w:tcW w:w="2934" w:type="dxa"/>
                  <w:gridSpan w:val="2"/>
                  <w:noWrap w:val="0"/>
                  <w:vAlign w:val="center"/>
                </w:tcPr>
                <w:p w14:paraId="454834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2" w:leftChars="-20" w:right="-42" w:rightChars="-2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default" w:ascii="Times New Roman" w:hAnsi="Times New Roman" w:cs="Times New Roman"/>
                      <w:color w:val="auto"/>
                      <w:kern w:val="2"/>
                      <w:sz w:val="21"/>
                      <w:szCs w:val="21"/>
                      <w:highlight w:val="none"/>
                      <w:vertAlign w:val="baseline"/>
                      <w:lang w:val="en-US" w:eastAsia="zh-CN" w:bidi="ar-SA"/>
                    </w:rPr>
                    <w:t>非甲烷总烃、VOCs、臭气浓度</w:t>
                  </w:r>
                </w:p>
              </w:tc>
            </w:tr>
            <w:tr w14:paraId="07D98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4505" w:type="dxa"/>
                  <w:gridSpan w:val="3"/>
                  <w:noWrap w:val="0"/>
                  <w:vAlign w:val="center"/>
                </w:tcPr>
                <w:p w14:paraId="60C1C1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default" w:ascii="Times New Roman" w:hAnsi="Times New Roman" w:cs="Times New Roman"/>
                      <w:color w:val="auto"/>
                      <w:kern w:val="2"/>
                      <w:sz w:val="21"/>
                      <w:szCs w:val="21"/>
                      <w:highlight w:val="none"/>
                      <w:vertAlign w:val="baseline"/>
                      <w:lang w:val="en-US" w:eastAsia="zh-CN" w:bidi="ar-SA"/>
                    </w:rPr>
                    <w:t>总产生量t/a</w:t>
                  </w:r>
                </w:p>
              </w:tc>
              <w:tc>
                <w:tcPr>
                  <w:tcW w:w="1521" w:type="dxa"/>
                  <w:noWrap w:val="0"/>
                  <w:vAlign w:val="center"/>
                </w:tcPr>
                <w:p w14:paraId="34926A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0.0327</w:t>
                  </w:r>
                </w:p>
              </w:tc>
              <w:tc>
                <w:tcPr>
                  <w:tcW w:w="1413" w:type="dxa"/>
                  <w:noWrap w:val="0"/>
                  <w:vAlign w:val="center"/>
                </w:tcPr>
                <w:p w14:paraId="4AEF57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s="Times New Roman"/>
                      <w:color w:val="auto"/>
                      <w:highlight w:val="none"/>
                      <w:lang w:val="en-US" w:eastAsia="zh-CN"/>
                    </w:rPr>
                  </w:pPr>
                  <w:r>
                    <w:rPr>
                      <w:rFonts w:hint="eastAsia" w:cs="Times New Roman"/>
                      <w:color w:val="auto"/>
                      <w:kern w:val="2"/>
                      <w:sz w:val="21"/>
                      <w:szCs w:val="21"/>
                      <w:highlight w:val="none"/>
                      <w:vertAlign w:val="baseline"/>
                      <w:lang w:val="en-US" w:eastAsia="zh-CN" w:bidi="ar-SA"/>
                    </w:rPr>
                    <w:t>0.0204</w:t>
                  </w:r>
                </w:p>
              </w:tc>
            </w:tr>
            <w:tr w14:paraId="0BC28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4505" w:type="dxa"/>
                  <w:gridSpan w:val="3"/>
                  <w:noWrap w:val="0"/>
                  <w:vAlign w:val="center"/>
                </w:tcPr>
                <w:p w14:paraId="1D8A3B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default" w:ascii="Times New Roman" w:hAnsi="Times New Roman" w:cs="Times New Roman"/>
                      <w:color w:val="auto"/>
                      <w:kern w:val="2"/>
                      <w:sz w:val="21"/>
                      <w:szCs w:val="21"/>
                      <w:highlight w:val="none"/>
                      <w:vertAlign w:val="baseline"/>
                      <w:lang w:val="en-US" w:eastAsia="zh-CN" w:bidi="ar-SA"/>
                    </w:rPr>
                    <w:t>收集效率</w:t>
                  </w:r>
                </w:p>
              </w:tc>
              <w:tc>
                <w:tcPr>
                  <w:tcW w:w="1521" w:type="dxa"/>
                  <w:noWrap w:val="0"/>
                  <w:vAlign w:val="center"/>
                </w:tcPr>
                <w:p w14:paraId="599694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80%</w:t>
                  </w:r>
                </w:p>
              </w:tc>
              <w:tc>
                <w:tcPr>
                  <w:tcW w:w="1413" w:type="dxa"/>
                  <w:noWrap w:val="0"/>
                  <w:vAlign w:val="center"/>
                </w:tcPr>
                <w:p w14:paraId="1E2F33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30%</w:t>
                  </w:r>
                </w:p>
              </w:tc>
            </w:tr>
            <w:tr w14:paraId="6C9F0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4505" w:type="dxa"/>
                  <w:gridSpan w:val="3"/>
                  <w:noWrap w:val="0"/>
                  <w:vAlign w:val="center"/>
                </w:tcPr>
                <w:p w14:paraId="0F834D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default" w:ascii="Times New Roman" w:hAnsi="Times New Roman" w:cs="Times New Roman"/>
                      <w:color w:val="auto"/>
                      <w:kern w:val="2"/>
                      <w:sz w:val="21"/>
                      <w:szCs w:val="21"/>
                      <w:highlight w:val="none"/>
                      <w:vertAlign w:val="baseline"/>
                      <w:lang w:val="en-US" w:eastAsia="zh-CN" w:bidi="ar-SA"/>
                    </w:rPr>
                    <w:t>处理效率</w:t>
                  </w:r>
                </w:p>
              </w:tc>
              <w:tc>
                <w:tcPr>
                  <w:tcW w:w="2934" w:type="dxa"/>
                  <w:gridSpan w:val="2"/>
                  <w:noWrap w:val="0"/>
                  <w:vAlign w:val="center"/>
                </w:tcPr>
                <w:p w14:paraId="6589DF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80%</w:t>
                  </w:r>
                </w:p>
              </w:tc>
            </w:tr>
            <w:tr w14:paraId="48B6B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1317" w:type="dxa"/>
                  <w:vMerge w:val="restart"/>
                  <w:noWrap w:val="0"/>
                  <w:vAlign w:val="center"/>
                </w:tcPr>
                <w:p w14:paraId="385032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default" w:ascii="Times New Roman" w:hAnsi="Times New Roman" w:cs="Times New Roman"/>
                      <w:color w:val="auto"/>
                      <w:kern w:val="2"/>
                      <w:sz w:val="21"/>
                      <w:szCs w:val="21"/>
                      <w:highlight w:val="none"/>
                      <w:vertAlign w:val="baseline"/>
                      <w:lang w:val="en-US" w:eastAsia="zh-CN" w:bidi="ar-SA"/>
                    </w:rPr>
                    <w:t>有组织排放</w:t>
                  </w:r>
                </w:p>
              </w:tc>
              <w:tc>
                <w:tcPr>
                  <w:tcW w:w="1379" w:type="dxa"/>
                  <w:vMerge w:val="restart"/>
                  <w:noWrap w:val="0"/>
                  <w:vAlign w:val="center"/>
                </w:tcPr>
                <w:p w14:paraId="242AA5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default" w:ascii="Times New Roman" w:hAnsi="Times New Roman" w:cs="Times New Roman"/>
                      <w:color w:val="auto"/>
                      <w:kern w:val="2"/>
                      <w:sz w:val="21"/>
                      <w:szCs w:val="21"/>
                      <w:highlight w:val="none"/>
                      <w:vertAlign w:val="baseline"/>
                      <w:lang w:val="en-US" w:eastAsia="zh-CN" w:bidi="ar-SA"/>
                    </w:rPr>
                    <w:t>处理前</w:t>
                  </w:r>
                </w:p>
              </w:tc>
              <w:tc>
                <w:tcPr>
                  <w:tcW w:w="1809" w:type="dxa"/>
                  <w:noWrap w:val="0"/>
                  <w:vAlign w:val="top"/>
                </w:tcPr>
                <w:p w14:paraId="7B5AF2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default" w:ascii="Times New Roman" w:hAnsi="Times New Roman" w:cs="Times New Roman"/>
                      <w:color w:val="auto"/>
                      <w:kern w:val="2"/>
                      <w:sz w:val="21"/>
                      <w:szCs w:val="21"/>
                      <w:highlight w:val="none"/>
                      <w:vertAlign w:val="baseline"/>
                      <w:lang w:val="en-US" w:eastAsia="zh-CN" w:bidi="ar-SA"/>
                    </w:rPr>
                    <w:t>产生量t/a</w:t>
                  </w:r>
                </w:p>
              </w:tc>
              <w:tc>
                <w:tcPr>
                  <w:tcW w:w="2934" w:type="dxa"/>
                  <w:gridSpan w:val="2"/>
                  <w:noWrap w:val="0"/>
                  <w:vAlign w:val="center"/>
                </w:tcPr>
                <w:p w14:paraId="56847C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0.0874</w:t>
                  </w:r>
                </w:p>
              </w:tc>
            </w:tr>
            <w:tr w14:paraId="4D222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1317" w:type="dxa"/>
                  <w:vMerge w:val="continue"/>
                  <w:noWrap w:val="0"/>
                  <w:vAlign w:val="center"/>
                </w:tcPr>
                <w:p w14:paraId="299895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p>
              </w:tc>
              <w:tc>
                <w:tcPr>
                  <w:tcW w:w="1379" w:type="dxa"/>
                  <w:vMerge w:val="continue"/>
                  <w:noWrap w:val="0"/>
                  <w:vAlign w:val="center"/>
                </w:tcPr>
                <w:p w14:paraId="52CDAA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p>
              </w:tc>
              <w:tc>
                <w:tcPr>
                  <w:tcW w:w="1809" w:type="dxa"/>
                  <w:noWrap w:val="0"/>
                  <w:vAlign w:val="top"/>
                </w:tcPr>
                <w:p w14:paraId="06634E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default" w:ascii="Times New Roman" w:hAnsi="Times New Roman" w:cs="Times New Roman"/>
                      <w:color w:val="auto"/>
                      <w:kern w:val="2"/>
                      <w:sz w:val="21"/>
                      <w:szCs w:val="21"/>
                      <w:highlight w:val="none"/>
                      <w:vertAlign w:val="baseline"/>
                      <w:lang w:val="en-US" w:eastAsia="zh-CN" w:bidi="ar-SA"/>
                    </w:rPr>
                    <w:t>产生速率kg/h</w:t>
                  </w:r>
                </w:p>
              </w:tc>
              <w:tc>
                <w:tcPr>
                  <w:tcW w:w="2934" w:type="dxa"/>
                  <w:gridSpan w:val="2"/>
                  <w:noWrap w:val="0"/>
                  <w:vAlign w:val="center"/>
                </w:tcPr>
                <w:p w14:paraId="1307AC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0.0364</w:t>
                  </w:r>
                </w:p>
              </w:tc>
            </w:tr>
            <w:tr w14:paraId="4C347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1317" w:type="dxa"/>
                  <w:vMerge w:val="continue"/>
                  <w:noWrap w:val="0"/>
                  <w:vAlign w:val="center"/>
                </w:tcPr>
                <w:p w14:paraId="087559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p>
              </w:tc>
              <w:tc>
                <w:tcPr>
                  <w:tcW w:w="1379" w:type="dxa"/>
                  <w:vMerge w:val="continue"/>
                  <w:noWrap w:val="0"/>
                  <w:vAlign w:val="center"/>
                </w:tcPr>
                <w:p w14:paraId="5E5401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p>
              </w:tc>
              <w:tc>
                <w:tcPr>
                  <w:tcW w:w="1809" w:type="dxa"/>
                  <w:noWrap w:val="0"/>
                  <w:vAlign w:val="top"/>
                </w:tcPr>
                <w:p w14:paraId="677487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default" w:ascii="Times New Roman" w:hAnsi="Times New Roman" w:cs="Times New Roman"/>
                      <w:color w:val="auto"/>
                      <w:kern w:val="2"/>
                      <w:sz w:val="21"/>
                      <w:szCs w:val="21"/>
                      <w:highlight w:val="none"/>
                      <w:vertAlign w:val="baseline"/>
                      <w:lang w:val="en-US" w:eastAsia="zh-CN" w:bidi="ar-SA"/>
                    </w:rPr>
                    <w:t>产生浓度mg/m</w:t>
                  </w:r>
                  <w:r>
                    <w:rPr>
                      <w:rFonts w:hint="default" w:ascii="Times New Roman" w:hAnsi="Times New Roman" w:cs="Times New Roman"/>
                      <w:color w:val="auto"/>
                      <w:kern w:val="2"/>
                      <w:sz w:val="21"/>
                      <w:szCs w:val="21"/>
                      <w:highlight w:val="none"/>
                      <w:vertAlign w:val="superscript"/>
                      <w:lang w:val="en-US" w:eastAsia="zh-CN" w:bidi="ar-SA"/>
                    </w:rPr>
                    <w:t>3</w:t>
                  </w:r>
                </w:p>
              </w:tc>
              <w:tc>
                <w:tcPr>
                  <w:tcW w:w="2934" w:type="dxa"/>
                  <w:gridSpan w:val="2"/>
                  <w:noWrap w:val="0"/>
                  <w:vAlign w:val="center"/>
                </w:tcPr>
                <w:p w14:paraId="2BE627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4.</w:t>
                  </w:r>
                  <w:r>
                    <w:rPr>
                      <w:rFonts w:hint="eastAsia" w:cs="Times New Roman"/>
                      <w:color w:val="auto"/>
                      <w:kern w:val="2"/>
                      <w:sz w:val="21"/>
                      <w:szCs w:val="21"/>
                      <w:highlight w:val="none"/>
                      <w:vertAlign w:val="baseline"/>
                      <w:lang w:val="en-US" w:eastAsia="zh-CN" w:bidi="ar-SA"/>
                    </w:rPr>
                    <w:t>55</w:t>
                  </w:r>
                </w:p>
              </w:tc>
            </w:tr>
            <w:tr w14:paraId="1BC12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1317" w:type="dxa"/>
                  <w:vMerge w:val="continue"/>
                  <w:noWrap w:val="0"/>
                  <w:vAlign w:val="center"/>
                </w:tcPr>
                <w:p w14:paraId="737D7D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p>
              </w:tc>
              <w:tc>
                <w:tcPr>
                  <w:tcW w:w="1379" w:type="dxa"/>
                  <w:vMerge w:val="restart"/>
                  <w:noWrap w:val="0"/>
                  <w:vAlign w:val="center"/>
                </w:tcPr>
                <w:p w14:paraId="67A4BD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default" w:ascii="Times New Roman" w:hAnsi="Times New Roman" w:cs="Times New Roman"/>
                      <w:color w:val="auto"/>
                      <w:kern w:val="2"/>
                      <w:sz w:val="21"/>
                      <w:szCs w:val="21"/>
                      <w:highlight w:val="none"/>
                      <w:vertAlign w:val="baseline"/>
                      <w:lang w:val="en-US" w:eastAsia="zh-CN" w:bidi="ar-SA"/>
                    </w:rPr>
                    <w:t>处理后</w:t>
                  </w:r>
                </w:p>
              </w:tc>
              <w:tc>
                <w:tcPr>
                  <w:tcW w:w="1809" w:type="dxa"/>
                  <w:noWrap w:val="0"/>
                  <w:vAlign w:val="top"/>
                </w:tcPr>
                <w:p w14:paraId="19C1DA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default" w:ascii="Times New Roman" w:hAnsi="Times New Roman" w:cs="Times New Roman"/>
                      <w:color w:val="auto"/>
                      <w:kern w:val="2"/>
                      <w:sz w:val="21"/>
                      <w:szCs w:val="21"/>
                      <w:highlight w:val="none"/>
                      <w:vertAlign w:val="baseline"/>
                      <w:lang w:val="en-US" w:eastAsia="zh-CN" w:bidi="ar-SA"/>
                    </w:rPr>
                    <w:t>排放量t/a</w:t>
                  </w:r>
                </w:p>
              </w:tc>
              <w:tc>
                <w:tcPr>
                  <w:tcW w:w="2934" w:type="dxa"/>
                  <w:gridSpan w:val="2"/>
                  <w:noWrap w:val="0"/>
                  <w:vAlign w:val="center"/>
                </w:tcPr>
                <w:p w14:paraId="6182C1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0.0175</w:t>
                  </w:r>
                </w:p>
              </w:tc>
            </w:tr>
            <w:tr w14:paraId="1297A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1317" w:type="dxa"/>
                  <w:vMerge w:val="continue"/>
                  <w:noWrap w:val="0"/>
                  <w:vAlign w:val="center"/>
                </w:tcPr>
                <w:p w14:paraId="3BAB82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p>
              </w:tc>
              <w:tc>
                <w:tcPr>
                  <w:tcW w:w="1379" w:type="dxa"/>
                  <w:vMerge w:val="continue"/>
                  <w:noWrap w:val="0"/>
                  <w:vAlign w:val="center"/>
                </w:tcPr>
                <w:p w14:paraId="677D42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p>
              </w:tc>
              <w:tc>
                <w:tcPr>
                  <w:tcW w:w="1809" w:type="dxa"/>
                  <w:noWrap w:val="0"/>
                  <w:vAlign w:val="top"/>
                </w:tcPr>
                <w:p w14:paraId="226E88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default" w:ascii="Times New Roman" w:hAnsi="Times New Roman" w:cs="Times New Roman"/>
                      <w:color w:val="auto"/>
                      <w:kern w:val="2"/>
                      <w:sz w:val="21"/>
                      <w:szCs w:val="21"/>
                      <w:highlight w:val="none"/>
                      <w:vertAlign w:val="baseline"/>
                      <w:lang w:val="en-US" w:eastAsia="zh-CN" w:bidi="ar-SA"/>
                    </w:rPr>
                    <w:t>排放速率kg/h</w:t>
                  </w:r>
                </w:p>
              </w:tc>
              <w:tc>
                <w:tcPr>
                  <w:tcW w:w="2934" w:type="dxa"/>
                  <w:gridSpan w:val="2"/>
                  <w:noWrap w:val="0"/>
                  <w:vAlign w:val="center"/>
                </w:tcPr>
                <w:p w14:paraId="4A8EFD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0.00</w:t>
                  </w:r>
                  <w:r>
                    <w:rPr>
                      <w:rFonts w:hint="eastAsia" w:cs="Times New Roman"/>
                      <w:color w:val="auto"/>
                      <w:kern w:val="2"/>
                      <w:sz w:val="21"/>
                      <w:szCs w:val="21"/>
                      <w:highlight w:val="none"/>
                      <w:vertAlign w:val="baseline"/>
                      <w:lang w:val="en-US" w:eastAsia="zh-CN" w:bidi="ar-SA"/>
                    </w:rPr>
                    <w:t>73</w:t>
                  </w:r>
                </w:p>
              </w:tc>
            </w:tr>
            <w:tr w14:paraId="32634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1317" w:type="dxa"/>
                  <w:vMerge w:val="continue"/>
                  <w:noWrap w:val="0"/>
                  <w:vAlign w:val="center"/>
                </w:tcPr>
                <w:p w14:paraId="54AAF8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p>
              </w:tc>
              <w:tc>
                <w:tcPr>
                  <w:tcW w:w="1379" w:type="dxa"/>
                  <w:vMerge w:val="continue"/>
                  <w:noWrap w:val="0"/>
                  <w:vAlign w:val="center"/>
                </w:tcPr>
                <w:p w14:paraId="6B1250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p>
              </w:tc>
              <w:tc>
                <w:tcPr>
                  <w:tcW w:w="1809" w:type="dxa"/>
                  <w:noWrap w:val="0"/>
                  <w:vAlign w:val="top"/>
                </w:tcPr>
                <w:p w14:paraId="428607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superscript"/>
                      <w:lang w:val="en-US" w:eastAsia="zh-CN" w:bidi="ar-SA"/>
                    </w:rPr>
                  </w:pPr>
                  <w:r>
                    <w:rPr>
                      <w:rFonts w:hint="default" w:ascii="Times New Roman" w:hAnsi="Times New Roman" w:cs="Times New Roman"/>
                      <w:color w:val="auto"/>
                      <w:kern w:val="2"/>
                      <w:sz w:val="21"/>
                      <w:szCs w:val="21"/>
                      <w:highlight w:val="none"/>
                      <w:vertAlign w:val="baseline"/>
                      <w:lang w:val="en-US" w:eastAsia="zh-CN" w:bidi="ar-SA"/>
                    </w:rPr>
                    <w:t>排放浓度mg/m</w:t>
                  </w:r>
                  <w:r>
                    <w:rPr>
                      <w:rFonts w:hint="default" w:ascii="Times New Roman" w:hAnsi="Times New Roman" w:cs="Times New Roman"/>
                      <w:color w:val="auto"/>
                      <w:kern w:val="2"/>
                      <w:sz w:val="21"/>
                      <w:szCs w:val="21"/>
                      <w:highlight w:val="none"/>
                      <w:vertAlign w:val="superscript"/>
                      <w:lang w:val="en-US" w:eastAsia="zh-CN" w:bidi="ar-SA"/>
                    </w:rPr>
                    <w:t>3</w:t>
                  </w:r>
                </w:p>
              </w:tc>
              <w:tc>
                <w:tcPr>
                  <w:tcW w:w="2934" w:type="dxa"/>
                  <w:gridSpan w:val="2"/>
                  <w:noWrap w:val="0"/>
                  <w:vAlign w:val="center"/>
                </w:tcPr>
                <w:p w14:paraId="1A212F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0.</w:t>
                  </w:r>
                  <w:r>
                    <w:rPr>
                      <w:rFonts w:hint="eastAsia" w:cs="Times New Roman"/>
                      <w:color w:val="auto"/>
                      <w:kern w:val="2"/>
                      <w:sz w:val="21"/>
                      <w:szCs w:val="21"/>
                      <w:highlight w:val="none"/>
                      <w:vertAlign w:val="baseline"/>
                      <w:lang w:val="en-US" w:eastAsia="zh-CN" w:bidi="ar-SA"/>
                    </w:rPr>
                    <w:t>91</w:t>
                  </w:r>
                </w:p>
              </w:tc>
            </w:tr>
            <w:tr w14:paraId="4310B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2696" w:type="dxa"/>
                  <w:gridSpan w:val="2"/>
                  <w:vMerge w:val="restart"/>
                  <w:noWrap w:val="0"/>
                  <w:vAlign w:val="center"/>
                </w:tcPr>
                <w:p w14:paraId="0A2BE9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default" w:ascii="Times New Roman" w:hAnsi="Times New Roman" w:cs="Times New Roman"/>
                      <w:color w:val="auto"/>
                      <w:kern w:val="2"/>
                      <w:sz w:val="21"/>
                      <w:szCs w:val="21"/>
                      <w:highlight w:val="none"/>
                      <w:vertAlign w:val="baseline"/>
                      <w:lang w:val="en-US" w:eastAsia="zh-CN" w:bidi="ar-SA"/>
                    </w:rPr>
                    <w:t>无组织排放</w:t>
                  </w:r>
                </w:p>
              </w:tc>
              <w:tc>
                <w:tcPr>
                  <w:tcW w:w="1809" w:type="dxa"/>
                  <w:noWrap w:val="0"/>
                  <w:vAlign w:val="top"/>
                </w:tcPr>
                <w:p w14:paraId="787285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default" w:ascii="Times New Roman" w:hAnsi="Times New Roman" w:cs="Times New Roman"/>
                      <w:color w:val="auto"/>
                      <w:kern w:val="2"/>
                      <w:sz w:val="21"/>
                      <w:szCs w:val="21"/>
                      <w:highlight w:val="none"/>
                      <w:vertAlign w:val="baseline"/>
                      <w:lang w:val="en-US" w:eastAsia="zh-CN" w:bidi="ar-SA"/>
                    </w:rPr>
                    <w:t>排放量t/a</w:t>
                  </w:r>
                </w:p>
              </w:tc>
              <w:tc>
                <w:tcPr>
                  <w:tcW w:w="2934" w:type="dxa"/>
                  <w:gridSpan w:val="2"/>
                  <w:noWrap w:val="0"/>
                  <w:vAlign w:val="center"/>
                </w:tcPr>
                <w:p w14:paraId="5B2D3D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0.1493 </w:t>
                  </w:r>
                </w:p>
              </w:tc>
            </w:tr>
            <w:tr w14:paraId="6D1A5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2696" w:type="dxa"/>
                  <w:gridSpan w:val="2"/>
                  <w:vMerge w:val="continue"/>
                  <w:noWrap w:val="0"/>
                  <w:vAlign w:val="center"/>
                </w:tcPr>
                <w:p w14:paraId="3920D8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p>
              </w:tc>
              <w:tc>
                <w:tcPr>
                  <w:tcW w:w="1809" w:type="dxa"/>
                  <w:noWrap w:val="0"/>
                  <w:vAlign w:val="top"/>
                </w:tcPr>
                <w:p w14:paraId="78EE6B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default" w:ascii="Times New Roman" w:hAnsi="Times New Roman" w:cs="Times New Roman"/>
                      <w:color w:val="auto"/>
                      <w:kern w:val="2"/>
                      <w:sz w:val="21"/>
                      <w:szCs w:val="21"/>
                      <w:highlight w:val="none"/>
                      <w:vertAlign w:val="baseline"/>
                      <w:lang w:val="en-US" w:eastAsia="zh-CN" w:bidi="ar-SA"/>
                    </w:rPr>
                    <w:t>排放速率kg/h</w:t>
                  </w:r>
                </w:p>
              </w:tc>
              <w:tc>
                <w:tcPr>
                  <w:tcW w:w="2934" w:type="dxa"/>
                  <w:gridSpan w:val="2"/>
                  <w:noWrap w:val="0"/>
                  <w:vAlign w:val="center"/>
                </w:tcPr>
                <w:p w14:paraId="189017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0.0622</w:t>
                  </w:r>
                </w:p>
              </w:tc>
            </w:tr>
            <w:tr w14:paraId="28D0D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2696" w:type="dxa"/>
                  <w:gridSpan w:val="2"/>
                  <w:noWrap w:val="0"/>
                  <w:vAlign w:val="center"/>
                </w:tcPr>
                <w:p w14:paraId="62DAED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default" w:ascii="Times New Roman" w:hAnsi="Times New Roman" w:cs="Times New Roman"/>
                      <w:color w:val="auto"/>
                      <w:kern w:val="2"/>
                      <w:sz w:val="21"/>
                      <w:szCs w:val="21"/>
                      <w:highlight w:val="none"/>
                      <w:vertAlign w:val="baseline"/>
                      <w:lang w:val="en-US" w:eastAsia="zh-CN" w:bidi="ar-SA"/>
                    </w:rPr>
                    <w:t>设计风量m</w:t>
                  </w:r>
                  <w:r>
                    <w:rPr>
                      <w:rFonts w:hint="default" w:ascii="Times New Roman" w:hAnsi="Times New Roman" w:cs="Times New Roman"/>
                      <w:color w:val="auto"/>
                      <w:kern w:val="2"/>
                      <w:sz w:val="21"/>
                      <w:szCs w:val="21"/>
                      <w:highlight w:val="none"/>
                      <w:vertAlign w:val="superscript"/>
                      <w:lang w:val="en-US" w:eastAsia="zh-CN" w:bidi="ar-SA"/>
                    </w:rPr>
                    <w:t>3</w:t>
                  </w:r>
                  <w:r>
                    <w:rPr>
                      <w:rFonts w:hint="default" w:ascii="Times New Roman" w:hAnsi="Times New Roman" w:cs="Times New Roman"/>
                      <w:color w:val="auto"/>
                      <w:kern w:val="2"/>
                      <w:sz w:val="21"/>
                      <w:szCs w:val="21"/>
                      <w:highlight w:val="none"/>
                      <w:vertAlign w:val="baseline"/>
                      <w:lang w:val="en-US" w:eastAsia="zh-CN" w:bidi="ar-SA"/>
                    </w:rPr>
                    <w:t>/h</w:t>
                  </w:r>
                </w:p>
              </w:tc>
              <w:tc>
                <w:tcPr>
                  <w:tcW w:w="4743" w:type="dxa"/>
                  <w:gridSpan w:val="3"/>
                  <w:noWrap w:val="0"/>
                  <w:vAlign w:val="top"/>
                </w:tcPr>
                <w:p w14:paraId="6BED77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8</w:t>
                  </w:r>
                  <w:r>
                    <w:rPr>
                      <w:rFonts w:hint="default" w:ascii="Times New Roman" w:hAnsi="Times New Roman" w:cs="Times New Roman"/>
                      <w:color w:val="auto"/>
                      <w:kern w:val="2"/>
                      <w:sz w:val="21"/>
                      <w:szCs w:val="21"/>
                      <w:highlight w:val="none"/>
                      <w:vertAlign w:val="baseline"/>
                      <w:lang w:val="en-US" w:eastAsia="zh-CN" w:bidi="ar-SA"/>
                    </w:rPr>
                    <w:t>000</w:t>
                  </w:r>
                </w:p>
              </w:tc>
            </w:tr>
            <w:tr w14:paraId="320E2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2696" w:type="dxa"/>
                  <w:gridSpan w:val="2"/>
                  <w:noWrap w:val="0"/>
                  <w:vAlign w:val="center"/>
                </w:tcPr>
                <w:p w14:paraId="56E9C4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default" w:ascii="Times New Roman" w:hAnsi="Times New Roman" w:cs="Times New Roman"/>
                      <w:color w:val="auto"/>
                      <w:kern w:val="2"/>
                      <w:sz w:val="21"/>
                      <w:szCs w:val="21"/>
                      <w:highlight w:val="none"/>
                      <w:vertAlign w:val="baseline"/>
                      <w:lang w:val="en-US" w:eastAsia="zh-CN" w:bidi="ar-SA"/>
                    </w:rPr>
                    <w:t>排放高度m</w:t>
                  </w:r>
                </w:p>
              </w:tc>
              <w:tc>
                <w:tcPr>
                  <w:tcW w:w="4743" w:type="dxa"/>
                  <w:gridSpan w:val="3"/>
                  <w:noWrap w:val="0"/>
                  <w:vAlign w:val="top"/>
                </w:tcPr>
                <w:p w14:paraId="1522F1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15</w:t>
                  </w:r>
                </w:p>
              </w:tc>
            </w:tr>
            <w:tr w14:paraId="614D4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4505" w:type="dxa"/>
                  <w:gridSpan w:val="3"/>
                  <w:noWrap w:val="0"/>
                  <w:vAlign w:val="center"/>
                </w:tcPr>
                <w:p w14:paraId="7E6D68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default" w:ascii="Times New Roman" w:hAnsi="Times New Roman" w:cs="Times New Roman"/>
                      <w:color w:val="auto"/>
                      <w:kern w:val="2"/>
                      <w:sz w:val="21"/>
                      <w:szCs w:val="21"/>
                      <w:highlight w:val="none"/>
                      <w:vertAlign w:val="baseline"/>
                      <w:lang w:val="en-US" w:eastAsia="zh-CN" w:bidi="ar-SA"/>
                    </w:rPr>
                    <w:t>年工作时间h</w:t>
                  </w:r>
                </w:p>
              </w:tc>
              <w:tc>
                <w:tcPr>
                  <w:tcW w:w="2934" w:type="dxa"/>
                  <w:gridSpan w:val="2"/>
                  <w:noWrap w:val="0"/>
                  <w:vAlign w:val="top"/>
                </w:tcPr>
                <w:p w14:paraId="2D6760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default" w:ascii="Times New Roman" w:hAnsi="Times New Roman" w:cs="Times New Roman"/>
                      <w:color w:val="auto"/>
                      <w:kern w:val="2"/>
                      <w:sz w:val="21"/>
                      <w:szCs w:val="21"/>
                      <w:highlight w:val="none"/>
                      <w:vertAlign w:val="baseline"/>
                      <w:lang w:val="en-US" w:eastAsia="zh-CN" w:bidi="ar-SA"/>
                    </w:rPr>
                    <w:t>2400</w:t>
                  </w:r>
                </w:p>
              </w:tc>
            </w:tr>
            <w:tr w14:paraId="1672B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trPr>
              <w:tc>
                <w:tcPr>
                  <w:tcW w:w="7439" w:type="dxa"/>
                  <w:gridSpan w:val="5"/>
                  <w:noWrap w:val="0"/>
                  <w:vAlign w:val="top"/>
                </w:tcPr>
                <w:p w14:paraId="4BE354AD">
                  <w:pPr>
                    <w:keepNext w:val="0"/>
                    <w:keepLines w:val="0"/>
                    <w:suppressLineNumbers w:val="0"/>
                    <w:spacing w:before="0" w:beforeAutospacing="0" w:after="0" w:afterAutospacing="0"/>
                    <w:ind w:left="0" w:right="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计算过程：</w:t>
                  </w:r>
                </w:p>
                <w:p w14:paraId="00B651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00" w:right="0" w:hanging="2100" w:hangingChars="1000"/>
                    <w:textAlignment w:val="auto"/>
                    <w:rPr>
                      <w:rFonts w:hint="eastAsia" w:cs="Times New Roman"/>
                      <w:color w:val="auto"/>
                      <w:highlight w:val="none"/>
                      <w:lang w:val="en-US" w:eastAsia="zh-CN"/>
                    </w:rPr>
                  </w:pPr>
                  <w:r>
                    <w:rPr>
                      <w:rFonts w:hint="eastAsia" w:cs="Times New Roman"/>
                      <w:color w:val="auto"/>
                      <w:highlight w:val="none"/>
                      <w:lang w:val="en-US" w:eastAsia="zh-CN"/>
                    </w:rPr>
                    <w:t>1. 有组织处理前产生量</w:t>
                  </w:r>
                </w:p>
                <w:p w14:paraId="6F8651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00" w:right="0" w:hanging="2100" w:hangingChars="1000"/>
                    <w:textAlignment w:val="auto"/>
                    <w:rPr>
                      <w:rFonts w:hint="eastAsia" w:cs="Times New Roman"/>
                      <w:color w:val="auto"/>
                      <w:highlight w:val="none"/>
                      <w:lang w:val="en-US" w:eastAsia="zh-CN"/>
                    </w:rPr>
                  </w:pPr>
                  <w:r>
                    <w:rPr>
                      <w:rFonts w:hint="eastAsia" w:cs="Times New Roman"/>
                      <w:color w:val="auto"/>
                      <w:highlight w:val="none"/>
                      <w:lang w:val="en-US" w:eastAsia="zh-CN"/>
                    </w:rPr>
                    <w:t>(0.0025+0.0015+0.0057+0.0230)×80%+(0.0040+0.2000)×30%=0.0874 t/a；</w:t>
                  </w:r>
                </w:p>
                <w:p w14:paraId="5CC2AC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00" w:right="0" w:hanging="2100" w:hangingChars="1000"/>
                    <w:textAlignment w:val="auto"/>
                    <w:rPr>
                      <w:rFonts w:hint="eastAsia" w:cs="Times New Roman"/>
                      <w:color w:val="auto"/>
                      <w:highlight w:val="none"/>
                      <w:lang w:val="en-US" w:eastAsia="zh-CN"/>
                    </w:rPr>
                  </w:pPr>
                  <w:r>
                    <w:rPr>
                      <w:rFonts w:hint="eastAsia" w:cs="Times New Roman"/>
                      <w:color w:val="auto"/>
                      <w:highlight w:val="none"/>
                      <w:lang w:val="en-US" w:eastAsia="zh-CN"/>
                    </w:rPr>
                    <w:t>2. 有组织处理后排放量（处理效率80%）</w:t>
                  </w:r>
                </w:p>
                <w:p w14:paraId="11FD9F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00" w:right="0" w:hanging="2100" w:hangingChars="1000"/>
                    <w:textAlignment w:val="auto"/>
                    <w:rPr>
                      <w:rFonts w:hint="eastAsia" w:cs="Times New Roman"/>
                      <w:color w:val="auto"/>
                      <w:highlight w:val="none"/>
                      <w:lang w:val="en-US" w:eastAsia="zh-CN"/>
                    </w:rPr>
                  </w:pPr>
                  <w:r>
                    <w:rPr>
                      <w:rFonts w:hint="eastAsia" w:cs="Times New Roman"/>
                      <w:color w:val="auto"/>
                      <w:highlight w:val="none"/>
                      <w:lang w:val="en-US" w:eastAsia="zh-CN"/>
                    </w:rPr>
                    <w:t>0.0874×(1−80%)=0.0175 t/a0.0874×(1−80%)=0.0175 t/a；</w:t>
                  </w:r>
                </w:p>
                <w:p w14:paraId="7E3912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00" w:right="0" w:hanging="2100" w:hangingChars="1000"/>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3. 无组织排放量：0.2367−0.0874=0.1493 t/a。</w:t>
                  </w:r>
                </w:p>
              </w:tc>
            </w:tr>
          </w:tbl>
          <w:p w14:paraId="09F25885">
            <w:pPr>
              <w:keepNext w:val="0"/>
              <w:keepLines w:val="0"/>
              <w:pageBreakBefore w:val="0"/>
              <w:suppressLineNumbers w:val="0"/>
              <w:tabs>
                <w:tab w:val="left" w:pos="4830"/>
              </w:tabs>
              <w:kinsoku/>
              <w:wordWrap/>
              <w:overflowPunct/>
              <w:topLinePunct w:val="0"/>
              <w:autoSpaceDE/>
              <w:autoSpaceDN/>
              <w:bidi w:val="0"/>
              <w:snapToGrid/>
              <w:spacing w:before="0" w:beforeAutospacing="0" w:after="0" w:afterAutospacing="0" w:line="360" w:lineRule="auto"/>
              <w:ind w:left="0" w:right="0" w:firstLine="480"/>
              <w:jc w:val="both"/>
              <w:rPr>
                <w:rFonts w:hint="default" w:ascii="Times New Roman" w:hAnsi="Times New Roman" w:eastAsia="宋体" w:cs="Times New Roman"/>
                <w:b/>
                <w:bCs/>
                <w:color w:val="auto"/>
                <w:sz w:val="24"/>
                <w:szCs w:val="22"/>
                <w:highlight w:val="none"/>
                <w:lang w:val="en-US" w:eastAsia="zh-CN"/>
              </w:rPr>
            </w:pPr>
            <w:r>
              <w:rPr>
                <w:rFonts w:hint="eastAsia" w:ascii="Times New Roman" w:hAnsi="Times New Roman" w:eastAsia="宋体" w:cs="Times New Roman"/>
                <w:b/>
                <w:bCs/>
                <w:color w:val="auto"/>
                <w:sz w:val="24"/>
                <w:szCs w:val="22"/>
                <w:highlight w:val="none"/>
                <w:lang w:val="en-US" w:eastAsia="zh-CN"/>
              </w:rPr>
              <w:t>因此，该</w:t>
            </w:r>
            <w:r>
              <w:rPr>
                <w:rFonts w:hint="eastAsia" w:cs="Times New Roman"/>
                <w:b/>
                <w:bCs/>
                <w:color w:val="auto"/>
                <w:sz w:val="24"/>
                <w:szCs w:val="22"/>
                <w:highlight w:val="none"/>
                <w:lang w:val="en-US" w:eastAsia="zh-CN"/>
              </w:rPr>
              <w:t>有机废气</w:t>
            </w:r>
            <w:r>
              <w:rPr>
                <w:rFonts w:hint="eastAsia" w:ascii="Times New Roman" w:hAnsi="Times New Roman" w:eastAsia="宋体" w:cs="Times New Roman"/>
                <w:b/>
                <w:bCs/>
                <w:color w:val="auto"/>
                <w:sz w:val="24"/>
                <w:szCs w:val="22"/>
                <w:highlight w:val="none"/>
                <w:lang w:val="en-US" w:eastAsia="zh-CN"/>
              </w:rPr>
              <w:t>的有组织排放量为</w:t>
            </w:r>
            <w:r>
              <w:rPr>
                <w:rFonts w:hint="eastAsia" w:cs="Times New Roman"/>
                <w:b/>
                <w:bCs/>
                <w:color w:val="auto"/>
                <w:sz w:val="24"/>
                <w:szCs w:val="22"/>
                <w:highlight w:val="none"/>
                <w:lang w:val="en-US" w:eastAsia="zh-CN"/>
              </w:rPr>
              <w:t>0.0175</w:t>
            </w:r>
            <w:r>
              <w:rPr>
                <w:rFonts w:hint="eastAsia" w:ascii="Times New Roman" w:hAnsi="Times New Roman" w:eastAsia="宋体" w:cs="Times New Roman"/>
                <w:b/>
                <w:bCs/>
                <w:color w:val="auto"/>
                <w:sz w:val="24"/>
                <w:szCs w:val="22"/>
                <w:highlight w:val="none"/>
                <w:lang w:val="en-US" w:eastAsia="zh-CN"/>
              </w:rPr>
              <w:t>t/a，无组织排放量为</w:t>
            </w:r>
            <w:r>
              <w:rPr>
                <w:rFonts w:hint="eastAsia" w:cs="Times New Roman"/>
                <w:b/>
                <w:bCs/>
                <w:color w:val="auto"/>
                <w:sz w:val="24"/>
                <w:szCs w:val="22"/>
                <w:highlight w:val="none"/>
                <w:lang w:val="en-US" w:eastAsia="zh-CN"/>
              </w:rPr>
              <w:t>0.1493 </w:t>
            </w:r>
            <w:r>
              <w:rPr>
                <w:rFonts w:hint="eastAsia" w:ascii="Times New Roman" w:hAnsi="Times New Roman" w:eastAsia="宋体" w:cs="Times New Roman"/>
                <w:b/>
                <w:bCs/>
                <w:color w:val="auto"/>
                <w:sz w:val="24"/>
                <w:szCs w:val="22"/>
                <w:highlight w:val="none"/>
                <w:lang w:val="en-US" w:eastAsia="zh-CN"/>
              </w:rPr>
              <w:t>t/a。</w:t>
            </w:r>
          </w:p>
          <w:p w14:paraId="417E564A">
            <w:pPr>
              <w:keepNext w:val="0"/>
              <w:keepLines w:val="0"/>
              <w:pageBreakBefore w:val="0"/>
              <w:numPr>
                <w:ilvl w:val="0"/>
                <w:numId w:val="0"/>
              </w:numPr>
              <w:suppressLineNumbers w:val="0"/>
              <w:kinsoku/>
              <w:wordWrap/>
              <w:overflowPunct/>
              <w:topLinePunct w:val="0"/>
              <w:autoSpaceDE/>
              <w:autoSpaceDN/>
              <w:bidi w:val="0"/>
              <w:snapToGrid/>
              <w:spacing w:before="0" w:beforeAutospacing="0" w:after="0" w:afterAutospacing="0" w:line="360" w:lineRule="auto"/>
              <w:ind w:left="480" w:leftChars="0" w:right="0" w:rightChars="0"/>
              <w:jc w:val="both"/>
              <w:rPr>
                <w:rFonts w:hint="eastAsia" w:ascii="Times New Roman" w:hAnsi="Times New Roman" w:eastAsia="宋体" w:cs="Times New Roman"/>
                <w:b/>
                <w:bCs/>
                <w:color w:val="auto"/>
                <w:sz w:val="24"/>
                <w:szCs w:val="22"/>
                <w:highlight w:val="none"/>
                <w:lang w:val="en-US" w:eastAsia="zh-CN"/>
              </w:rPr>
            </w:pPr>
            <w:r>
              <w:rPr>
                <w:rFonts w:hint="eastAsia" w:cs="Times New Roman"/>
                <w:b/>
                <w:bCs/>
                <w:color w:val="auto"/>
                <w:sz w:val="24"/>
                <w:szCs w:val="22"/>
                <w:highlight w:val="none"/>
                <w:lang w:val="en-US" w:eastAsia="zh-CN"/>
              </w:rPr>
              <w:t>（2）</w:t>
            </w:r>
            <w:r>
              <w:rPr>
                <w:rFonts w:hint="eastAsia" w:ascii="Times New Roman" w:hAnsi="Times New Roman" w:eastAsia="宋体" w:cs="Times New Roman"/>
                <w:b/>
                <w:bCs/>
                <w:color w:val="auto"/>
                <w:sz w:val="24"/>
                <w:szCs w:val="22"/>
                <w:highlight w:val="none"/>
                <w:lang w:val="en-US" w:eastAsia="zh-CN"/>
              </w:rPr>
              <w:t>车间恶臭废气（有组织排放+无组织排放）</w:t>
            </w:r>
          </w:p>
          <w:p w14:paraId="39DA5B7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Times New Roman" w:hAnsi="Times New Roman" w:eastAsia="宋体" w:cs="Times New Roman"/>
                <w:b w:val="0"/>
                <w:bCs w:val="0"/>
                <w:color w:val="auto"/>
                <w:sz w:val="24"/>
                <w:szCs w:val="22"/>
                <w:highlight w:val="none"/>
                <w:lang w:val="en-US" w:eastAsia="zh-CN"/>
              </w:rPr>
            </w:pPr>
            <w:r>
              <w:rPr>
                <w:rFonts w:hint="eastAsia" w:ascii="Times New Roman" w:hAnsi="Times New Roman" w:eastAsia="宋体" w:cs="Times New Roman"/>
                <w:b/>
                <w:bCs/>
                <w:color w:val="auto"/>
                <w:sz w:val="24"/>
                <w:szCs w:val="22"/>
                <w:highlight w:val="none"/>
                <w:lang w:val="en-US" w:eastAsia="zh-CN"/>
              </w:rPr>
              <w:t xml:space="preserve">    </w:t>
            </w:r>
            <w:r>
              <w:rPr>
                <w:rFonts w:hint="eastAsia" w:ascii="Times New Roman" w:hAnsi="Times New Roman" w:eastAsia="宋体" w:cs="Times New Roman"/>
                <w:b w:val="0"/>
                <w:bCs w:val="0"/>
                <w:color w:val="auto"/>
                <w:sz w:val="24"/>
                <w:szCs w:val="22"/>
                <w:highlight w:val="none"/>
                <w:lang w:val="en-US" w:eastAsia="zh-CN"/>
              </w:rPr>
              <w:t>项目印刷、润版、清洗、裱纸、上胶、上光等工序除了产生有机废气外，相应的会伴有明显的异味，需要作为恶臭进行管理和控制。本次评价统一以臭气浓度进行表征。该类异味覆盖范围仅限于生产设备至生产车间边界，对外环境影响较小。</w:t>
            </w:r>
          </w:p>
          <w:p w14:paraId="2A781EA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175"/>
              <w:jc w:val="both"/>
              <w:textAlignment w:val="auto"/>
              <w:rPr>
                <w:rFonts w:hint="eastAsia" w:ascii="Times New Roman" w:hAnsi="Times New Roman" w:eastAsia="宋体" w:cs="Times New Roman"/>
                <w:b w:val="0"/>
                <w:bCs w:val="0"/>
                <w:color w:val="auto"/>
                <w:sz w:val="24"/>
                <w:szCs w:val="22"/>
                <w:highlight w:val="none"/>
                <w:lang w:val="en-US" w:eastAsia="zh-CN"/>
              </w:rPr>
            </w:pPr>
            <w:r>
              <w:rPr>
                <w:rFonts w:hint="eastAsia" w:ascii="Times New Roman" w:hAnsi="Times New Roman" w:eastAsia="宋体" w:cs="Times New Roman"/>
                <w:b w:val="0"/>
                <w:bCs w:val="0"/>
                <w:color w:val="auto"/>
                <w:sz w:val="24"/>
                <w:szCs w:val="22"/>
                <w:highlight w:val="none"/>
                <w:lang w:val="en-US" w:eastAsia="zh-CN"/>
              </w:rPr>
              <w:t>其中</w:t>
            </w:r>
            <w:r>
              <w:rPr>
                <w:rFonts w:hint="eastAsia" w:cs="Times New Roman"/>
                <w:b w:val="0"/>
                <w:bCs w:val="0"/>
                <w:color w:val="auto"/>
                <w:sz w:val="24"/>
                <w:szCs w:val="22"/>
                <w:highlight w:val="none"/>
                <w:lang w:val="en-US" w:eastAsia="zh-CN"/>
              </w:rPr>
              <w:t>生产过程</w:t>
            </w:r>
            <w:r>
              <w:rPr>
                <w:rFonts w:hint="eastAsia" w:ascii="Times New Roman" w:hAnsi="Times New Roman" w:eastAsia="宋体" w:cs="Times New Roman"/>
                <w:b w:val="0"/>
                <w:bCs w:val="0"/>
                <w:color w:val="auto"/>
                <w:sz w:val="24"/>
                <w:szCs w:val="22"/>
                <w:highlight w:val="none"/>
                <w:lang w:val="en-US" w:eastAsia="zh-CN"/>
              </w:rPr>
              <w:t>的恶臭废气随有机废气一起收集至“</w:t>
            </w:r>
            <w:r>
              <w:rPr>
                <w:rFonts w:hint="eastAsia" w:cs="Times New Roman"/>
                <w:b w:val="0"/>
                <w:bCs w:val="0"/>
                <w:color w:val="auto"/>
                <w:sz w:val="24"/>
                <w:szCs w:val="22"/>
                <w:highlight w:val="none"/>
                <w:lang w:val="en-US" w:eastAsia="zh-CN"/>
              </w:rPr>
              <w:t>两级活性炭</w:t>
            </w:r>
            <w:r>
              <w:rPr>
                <w:rFonts w:hint="eastAsia" w:ascii="Times New Roman" w:hAnsi="Times New Roman" w:eastAsia="宋体" w:cs="Times New Roman"/>
                <w:b w:val="0"/>
                <w:bCs w:val="0"/>
                <w:color w:val="auto"/>
                <w:sz w:val="24"/>
                <w:szCs w:val="22"/>
                <w:highlight w:val="none"/>
                <w:lang w:val="en-US" w:eastAsia="zh-CN"/>
              </w:rPr>
              <w:t>吸附装置”，与有机废气一同排放。未被收集的恶臭废气以无组织排放形式在车间排放，通过加强车间通风，该类异味对周边环境影响不大。</w:t>
            </w:r>
          </w:p>
          <w:p w14:paraId="1D8F5A4A">
            <w:pPr>
              <w:pStyle w:val="81"/>
              <w:numPr>
                <w:ilvl w:val="0"/>
                <w:numId w:val="0"/>
              </w:numPr>
              <w:suppressLineNumbers w:val="0"/>
              <w:spacing w:before="120" w:beforeLines="50" w:beforeAutospacing="0" w:afterAutospacing="0" w:line="360" w:lineRule="auto"/>
              <w:ind w:leftChars="200" w:right="0"/>
              <w:rPr>
                <w:rFonts w:hint="eastAsia" w:ascii="Times New Roman" w:eastAsia="宋体" w:cs="Times New Roman"/>
                <w:b/>
                <w:color w:val="auto"/>
                <w:sz w:val="24"/>
                <w:szCs w:val="32"/>
                <w:highlight w:val="none"/>
                <w:lang w:val="en-US" w:eastAsia="zh-CN"/>
              </w:rPr>
            </w:pPr>
            <w:r>
              <w:rPr>
                <w:rFonts w:hint="eastAsia" w:ascii="Times New Roman" w:eastAsia="宋体" w:cs="Times New Roman"/>
                <w:b/>
                <w:color w:val="auto"/>
                <w:sz w:val="24"/>
                <w:szCs w:val="32"/>
                <w:highlight w:val="none"/>
                <w:lang w:val="en-US" w:eastAsia="zh-CN"/>
              </w:rPr>
              <w:t>2、措施有效性分析</w:t>
            </w:r>
          </w:p>
          <w:p w14:paraId="6AE9A2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项目拟采用的有机废气治理措施如下</w:t>
            </w:r>
          </w:p>
          <w:p w14:paraId="23D83F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2" w:firstLineChars="200"/>
              <w:jc w:val="center"/>
              <w:textAlignment w:val="auto"/>
              <w:rPr>
                <w:rFonts w:hint="eastAsia" w:ascii="Times New Roman" w:hAnsi="Times New Roman"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表</w:t>
            </w:r>
            <w:r>
              <w:rPr>
                <w:rFonts w:hint="eastAsia" w:cs="Times New Roman"/>
                <w:b/>
                <w:bCs/>
                <w:color w:val="auto"/>
                <w:sz w:val="21"/>
                <w:szCs w:val="21"/>
                <w:highlight w:val="none"/>
                <w:lang w:val="en-US" w:eastAsia="zh-CN"/>
              </w:rPr>
              <w:t>4-</w:t>
            </w:r>
            <w:r>
              <w:rPr>
                <w:rFonts w:hint="eastAsia" w:ascii="Times New Roman" w:hAnsi="Times New Roman" w:cs="Times New Roman"/>
                <w:b/>
                <w:bCs/>
                <w:color w:val="auto"/>
                <w:sz w:val="21"/>
                <w:szCs w:val="21"/>
                <w:highlight w:val="none"/>
                <w:lang w:val="en-US" w:eastAsia="zh-CN"/>
              </w:rPr>
              <w:t>5  项目拟采用的减排措施一览表</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3"/>
              <w:gridCol w:w="6002"/>
            </w:tblGrid>
            <w:tr w14:paraId="3B61F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3" w:type="dxa"/>
                  <w:noWrap w:val="0"/>
                  <w:vAlign w:val="center"/>
                </w:tcPr>
                <w:p w14:paraId="66AFA5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类别</w:t>
                  </w:r>
                </w:p>
              </w:tc>
              <w:tc>
                <w:tcPr>
                  <w:tcW w:w="6002" w:type="dxa"/>
                  <w:noWrap w:val="0"/>
                  <w:vAlign w:val="top"/>
                </w:tcPr>
                <w:p w14:paraId="69A2A0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内容</w:t>
                  </w:r>
                </w:p>
              </w:tc>
            </w:tr>
            <w:tr w14:paraId="3A9CF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3" w:type="dxa"/>
                  <w:noWrap w:val="0"/>
                  <w:vAlign w:val="center"/>
                </w:tcPr>
                <w:p w14:paraId="5E68F0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源头控制措施</w:t>
                  </w:r>
                </w:p>
              </w:tc>
              <w:tc>
                <w:tcPr>
                  <w:tcW w:w="6002" w:type="dxa"/>
                  <w:noWrap w:val="0"/>
                  <w:vAlign w:val="top"/>
                </w:tcPr>
                <w:p w14:paraId="2D1EB2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植物油基胶印油墨替代技术（大豆油墨）；</w:t>
                  </w:r>
                </w:p>
                <w:p w14:paraId="453BF5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水性光油替代技术（上光采用水性光油）；</w:t>
                  </w:r>
                </w:p>
                <w:p w14:paraId="435E14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无/低醇润湿液替代技术（润版液组分为磷酸三钠、戊二醛、水）；</w:t>
                  </w:r>
                </w:p>
                <w:p w14:paraId="0C86CC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水性胶黏剂替代技术（使用</w:t>
                  </w:r>
                  <w:r>
                    <w:rPr>
                      <w:rFonts w:hint="eastAsia" w:cs="Times New Roman"/>
                      <w:b w:val="0"/>
                      <w:bCs w:val="0"/>
                      <w:color w:val="auto"/>
                      <w:sz w:val="21"/>
                      <w:szCs w:val="21"/>
                      <w:highlight w:val="none"/>
                      <w:vertAlign w:val="baseline"/>
                      <w:lang w:val="en-US" w:eastAsia="zh-CN"/>
                    </w:rPr>
                    <w:t>封口胶</w:t>
                  </w:r>
                  <w:r>
                    <w:rPr>
                      <w:rFonts w:hint="eastAsia" w:ascii="Times New Roman" w:hAnsi="Times New Roman" w:cs="Times New Roman"/>
                      <w:b w:val="0"/>
                      <w:bCs w:val="0"/>
                      <w:color w:val="auto"/>
                      <w:sz w:val="21"/>
                      <w:szCs w:val="21"/>
                      <w:highlight w:val="none"/>
                      <w:vertAlign w:val="baseline"/>
                      <w:lang w:val="en-US" w:eastAsia="zh-CN"/>
                    </w:rPr>
                    <w:t>）；</w:t>
                  </w:r>
                </w:p>
                <w:p w14:paraId="3F5550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自动橡皮布清洗技术（海德堡胶印机安装该技术）。</w:t>
                  </w:r>
                </w:p>
              </w:tc>
            </w:tr>
            <w:tr w14:paraId="7E5F9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3" w:type="dxa"/>
                  <w:noWrap w:val="0"/>
                  <w:vAlign w:val="center"/>
                </w:tcPr>
                <w:p w14:paraId="7D402B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过程控制措施</w:t>
                  </w:r>
                </w:p>
              </w:tc>
              <w:tc>
                <w:tcPr>
                  <w:tcW w:w="6002" w:type="dxa"/>
                  <w:noWrap w:val="0"/>
                  <w:vAlign w:val="top"/>
                </w:tcPr>
                <w:p w14:paraId="3FB9B7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高效集气罩</w:t>
                  </w:r>
                  <w:r>
                    <w:rPr>
                      <w:rFonts w:hint="eastAsia" w:ascii="Times New Roman" w:hAnsi="Times New Roman" w:cs="Times New Roman"/>
                      <w:b w:val="0"/>
                      <w:bCs w:val="0"/>
                      <w:color w:val="auto"/>
                      <w:sz w:val="21"/>
                      <w:szCs w:val="21"/>
                      <w:highlight w:val="none"/>
                      <w:vertAlign w:val="baseline"/>
                      <w:lang w:val="en-US" w:eastAsia="zh-CN"/>
                    </w:rPr>
                    <w:t>集气</w:t>
                  </w:r>
                </w:p>
              </w:tc>
            </w:tr>
            <w:tr w14:paraId="2A5EA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3" w:type="dxa"/>
                  <w:noWrap w:val="0"/>
                  <w:vAlign w:val="center"/>
                </w:tcPr>
                <w:p w14:paraId="01495F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末端治理措施</w:t>
                  </w:r>
                </w:p>
              </w:tc>
              <w:tc>
                <w:tcPr>
                  <w:tcW w:w="6002" w:type="dxa"/>
                  <w:noWrap w:val="0"/>
                  <w:vAlign w:val="top"/>
                </w:tcPr>
                <w:p w14:paraId="203A60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两级活性炭</w:t>
                  </w:r>
                </w:p>
              </w:tc>
            </w:tr>
          </w:tbl>
          <w:p w14:paraId="0DC49650">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textAlignment w:val="auto"/>
              <w:rPr>
                <w:rFonts w:hint="eastAsia"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rPr>
              <w:t>（1）</w:t>
            </w:r>
            <w:r>
              <w:rPr>
                <w:rFonts w:hint="eastAsia" w:ascii="Times New Roman" w:hAnsi="Times New Roman" w:cs="Times New Roman"/>
                <w:color w:val="auto"/>
                <w:sz w:val="24"/>
                <w:szCs w:val="24"/>
                <w:highlight w:val="none"/>
                <w:lang w:val="en-US" w:eastAsia="zh-CN"/>
              </w:rPr>
              <w:t>是否为可行技术分析</w:t>
            </w:r>
          </w:p>
          <w:p w14:paraId="747044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     对照《印刷工业污染防治可行技术指南》（HJ1089-2020）表1 废气污染防治可行技术，版本项目所用的措施属于表格中的可行技术2、可行技术17、可行技术20，截图如下，因此，本项目所用的控制措施为可行技术。</w:t>
            </w:r>
          </w:p>
          <w:p w14:paraId="1B00DF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  印刷工序：</w:t>
            </w:r>
          </w:p>
          <w:p w14:paraId="2F58EC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4957445" cy="1111885"/>
                  <wp:effectExtent l="0" t="0" r="8255" b="5715"/>
                  <wp:docPr id="108" name="图片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397"/>
                          <pic:cNvPicPr>
                            <a:picLocks noChangeAspect="1"/>
                          </pic:cNvPicPr>
                        </pic:nvPicPr>
                        <pic:blipFill>
                          <a:blip r:embed="rId16"/>
                          <a:stretch>
                            <a:fillRect/>
                          </a:stretch>
                        </pic:blipFill>
                        <pic:spPr>
                          <a:xfrm>
                            <a:off x="0" y="0"/>
                            <a:ext cx="4957445" cy="1111885"/>
                          </a:xfrm>
                          <a:prstGeom prst="rect">
                            <a:avLst/>
                          </a:prstGeom>
                          <a:noFill/>
                          <a:ln>
                            <a:noFill/>
                          </a:ln>
                        </pic:spPr>
                      </pic:pic>
                    </a:graphicData>
                  </a:graphic>
                </wp:inline>
              </w:drawing>
            </w:r>
          </w:p>
          <w:p w14:paraId="170AD1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  </w:t>
            </w:r>
            <w:r>
              <w:rPr>
                <w:rFonts w:hint="eastAsia" w:ascii="Times New Roman" w:hAnsi="Times New Roman" w:cs="Times New Roman"/>
                <w:color w:val="auto"/>
                <w:sz w:val="24"/>
                <w:szCs w:val="24"/>
                <w:highlight w:val="none"/>
                <w:lang w:val="en-US" w:eastAsia="zh-CN"/>
              </w:rPr>
              <w:t>粘胶工序：</w:t>
            </w:r>
          </w:p>
          <w:p w14:paraId="712D71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4959985" cy="972185"/>
                  <wp:effectExtent l="0" t="0" r="5715" b="5715"/>
                  <wp:docPr id="109" name="图片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398"/>
                          <pic:cNvPicPr>
                            <a:picLocks noChangeAspect="1"/>
                          </pic:cNvPicPr>
                        </pic:nvPicPr>
                        <pic:blipFill>
                          <a:blip r:embed="rId17"/>
                          <a:stretch>
                            <a:fillRect/>
                          </a:stretch>
                        </pic:blipFill>
                        <pic:spPr>
                          <a:xfrm>
                            <a:off x="0" y="0"/>
                            <a:ext cx="4959985" cy="972185"/>
                          </a:xfrm>
                          <a:prstGeom prst="rect">
                            <a:avLst/>
                          </a:prstGeom>
                          <a:noFill/>
                          <a:ln>
                            <a:noFill/>
                          </a:ln>
                        </pic:spPr>
                      </pic:pic>
                    </a:graphicData>
                  </a:graphic>
                </wp:inline>
              </w:drawing>
            </w:r>
          </w:p>
          <w:p w14:paraId="67ECFF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240" w:firstLineChars="100"/>
              <w:textAlignment w:val="auto"/>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上光工序：</w:t>
            </w:r>
          </w:p>
          <w:p w14:paraId="702EBD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4954270" cy="610235"/>
                  <wp:effectExtent l="0" t="0" r="11430" b="12065"/>
                  <wp:docPr id="110" name="图片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353"/>
                          <pic:cNvPicPr>
                            <a:picLocks noChangeAspect="1"/>
                          </pic:cNvPicPr>
                        </pic:nvPicPr>
                        <pic:blipFill>
                          <a:blip r:embed="rId18"/>
                          <a:stretch>
                            <a:fillRect/>
                          </a:stretch>
                        </pic:blipFill>
                        <pic:spPr>
                          <a:xfrm>
                            <a:off x="0" y="0"/>
                            <a:ext cx="4954270" cy="610235"/>
                          </a:xfrm>
                          <a:prstGeom prst="rect">
                            <a:avLst/>
                          </a:prstGeom>
                          <a:noFill/>
                          <a:ln>
                            <a:noFill/>
                          </a:ln>
                        </pic:spPr>
                      </pic:pic>
                    </a:graphicData>
                  </a:graphic>
                </wp:inline>
              </w:drawing>
            </w:r>
          </w:p>
          <w:p w14:paraId="36DDF515">
            <w:pPr>
              <w:pStyle w:val="18"/>
              <w:keepNext w:val="0"/>
              <w:keepLines w:val="0"/>
              <w:suppressLineNumbers w:val="0"/>
              <w:spacing w:beforeAutospacing="0" w:afterAutospacing="0"/>
              <w:ind w:left="0"/>
              <w:jc w:val="center"/>
              <w:rPr>
                <w:rFonts w:hint="default" w:ascii="Times New Roman" w:hAnsi="Times New Roman"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图</w:t>
            </w:r>
            <w:r>
              <w:rPr>
                <w:rFonts w:hint="eastAsia" w:cs="Times New Roman"/>
                <w:b/>
                <w:bCs/>
                <w:color w:val="auto"/>
                <w:sz w:val="21"/>
                <w:szCs w:val="21"/>
                <w:highlight w:val="none"/>
                <w:lang w:val="en-US" w:eastAsia="zh-CN"/>
              </w:rPr>
              <w:t>4-4</w:t>
            </w:r>
            <w:r>
              <w:rPr>
                <w:rFonts w:hint="eastAsia" w:ascii="Times New Roman" w:hAnsi="Times New Roman" w:cs="Times New Roman"/>
                <w:b/>
                <w:bCs/>
                <w:color w:val="auto"/>
                <w:sz w:val="21"/>
                <w:szCs w:val="21"/>
                <w:highlight w:val="none"/>
                <w:lang w:val="en-US" w:eastAsia="zh-CN"/>
              </w:rPr>
              <w:t xml:space="preserve"> 可行技术指南截图</w:t>
            </w:r>
          </w:p>
          <w:p w14:paraId="3277D8F3">
            <w:pPr>
              <w:pStyle w:val="81"/>
              <w:pageBreakBefore w:val="0"/>
              <w:widowControl/>
              <w:suppressLineNumbers w:val="0"/>
              <w:kinsoku/>
              <w:wordWrap/>
              <w:overflowPunct/>
              <w:topLinePunct w:val="0"/>
              <w:autoSpaceDE/>
              <w:autoSpaceDN/>
              <w:bidi w:val="0"/>
              <w:snapToGrid/>
              <w:spacing w:beforeAutospacing="0" w:afterAutospacing="0" w:line="360" w:lineRule="auto"/>
              <w:ind w:left="0" w:leftChars="0" w:right="0" w:firstLine="480" w:firstLineChars="200"/>
              <w:rPr>
                <w:rFonts w:hint="default" w:ascii="Times New Roman" w:hAnsi="Times New Roman" w:eastAsia="宋体" w:cs="Times New Roman"/>
                <w:b w:val="0"/>
                <w:bCs w:val="0"/>
                <w:color w:val="auto"/>
                <w:sz w:val="24"/>
                <w:highlight w:val="none"/>
                <w:lang w:val="en-US" w:eastAsia="zh-CN"/>
              </w:rPr>
            </w:pPr>
            <w:r>
              <w:rPr>
                <w:rFonts w:hint="eastAsia" w:ascii="Times New Roman" w:eastAsia="宋体" w:cs="Times New Roman"/>
                <w:b w:val="0"/>
                <w:bCs w:val="0"/>
                <w:color w:val="auto"/>
                <w:sz w:val="24"/>
                <w:highlight w:val="none"/>
                <w:lang w:eastAsia="zh-CN"/>
              </w:rPr>
              <w:t>（</w:t>
            </w:r>
            <w:r>
              <w:rPr>
                <w:rFonts w:hint="eastAsia" w:ascii="Times New Roman" w:eastAsia="宋体" w:cs="Times New Roman"/>
                <w:b w:val="0"/>
                <w:bCs w:val="0"/>
                <w:color w:val="auto"/>
                <w:sz w:val="24"/>
                <w:highlight w:val="none"/>
                <w:lang w:val="en-US" w:eastAsia="zh-CN"/>
              </w:rPr>
              <w:t>2</w:t>
            </w:r>
            <w:r>
              <w:rPr>
                <w:rFonts w:hint="eastAsia" w:ascii="Times New Roman" w:eastAsia="宋体" w:cs="Times New Roman"/>
                <w:b w:val="0"/>
                <w:bCs w:val="0"/>
                <w:color w:val="auto"/>
                <w:sz w:val="24"/>
                <w:highlight w:val="none"/>
                <w:lang w:eastAsia="zh-CN"/>
              </w:rPr>
              <w:t>）</w:t>
            </w:r>
            <w:r>
              <w:rPr>
                <w:rFonts w:hint="eastAsia" w:ascii="Times New Roman" w:eastAsia="宋体" w:cs="Times New Roman"/>
                <w:b w:val="0"/>
                <w:bCs w:val="0"/>
                <w:color w:val="auto"/>
                <w:sz w:val="24"/>
                <w:highlight w:val="none"/>
                <w:lang w:val="en-US" w:eastAsia="zh-CN"/>
              </w:rPr>
              <w:t>活性炭吸附措施适用性分析</w:t>
            </w:r>
          </w:p>
          <w:p w14:paraId="20377B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cs="Times New Roman"/>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参照《阳江市涉VOCs企业活性炭智慧监管工作方案（试行）》（阳环办函【2025】378号）的管理要求，本项目与要求的对</w:t>
            </w:r>
            <w:r>
              <w:rPr>
                <w:rFonts w:hint="eastAsia" w:ascii="Times New Roman" w:hAnsi="Times New Roman" w:cs="Times New Roman"/>
                <w:color w:val="auto"/>
                <w:sz w:val="24"/>
                <w:szCs w:val="24"/>
                <w:highlight w:val="none"/>
                <w:lang w:val="en-US" w:eastAsia="zh-CN"/>
              </w:rPr>
              <w:t>照结果如下：</w:t>
            </w:r>
          </w:p>
          <w:p w14:paraId="5BBD2E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表</w:t>
            </w:r>
            <w:r>
              <w:rPr>
                <w:rFonts w:hint="eastAsia" w:cs="Times New Roman"/>
                <w:b/>
                <w:bCs/>
                <w:color w:val="auto"/>
                <w:sz w:val="21"/>
                <w:szCs w:val="21"/>
                <w:highlight w:val="none"/>
                <w:lang w:val="en-US" w:eastAsia="zh-CN"/>
              </w:rPr>
              <w:t>4-6</w:t>
            </w:r>
            <w:r>
              <w:rPr>
                <w:rFonts w:hint="eastAsia" w:ascii="Times New Roman" w:hAnsi="Times New Roman" w:cs="Times New Roman"/>
                <w:b/>
                <w:bCs/>
                <w:color w:val="auto"/>
                <w:sz w:val="21"/>
                <w:szCs w:val="21"/>
                <w:highlight w:val="none"/>
                <w:lang w:val="en-US" w:eastAsia="zh-CN"/>
              </w:rPr>
              <w:t xml:space="preserve"> 活性炭规范化设置自查一览表（摘录有关部分）</w:t>
            </w:r>
          </w:p>
          <w:tbl>
            <w:tblPr>
              <w:tblStyle w:val="3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0"/>
              <w:gridCol w:w="2938"/>
              <w:gridCol w:w="2966"/>
              <w:gridCol w:w="838"/>
            </w:tblGrid>
            <w:tr w14:paraId="18EC5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9" w:type="pct"/>
                  <w:noWrap w:val="0"/>
                  <w:vAlign w:val="center"/>
                </w:tcPr>
                <w:p w14:paraId="05A96E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vertAlign w:val="baseline"/>
                      <w:lang w:val="en-US" w:eastAsia="zh-CN"/>
                    </w:rPr>
                  </w:pPr>
                  <w:r>
                    <w:rPr>
                      <w:rFonts w:hint="eastAsia" w:ascii="Times New Roman" w:hAnsi="Times New Roman" w:cs="Times New Roman"/>
                      <w:b/>
                      <w:bCs/>
                      <w:color w:val="auto"/>
                      <w:sz w:val="21"/>
                      <w:szCs w:val="21"/>
                      <w:highlight w:val="none"/>
                      <w:vertAlign w:val="baseline"/>
                      <w:lang w:val="en-US" w:eastAsia="zh-CN"/>
                    </w:rPr>
                    <w:t>类别</w:t>
                  </w:r>
                </w:p>
              </w:tc>
              <w:tc>
                <w:tcPr>
                  <w:tcW w:w="1882" w:type="pct"/>
                  <w:noWrap w:val="0"/>
                  <w:vAlign w:val="center"/>
                </w:tcPr>
                <w:p w14:paraId="67A2A3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vertAlign w:val="baseline"/>
                      <w:lang w:val="en-US" w:eastAsia="zh-CN"/>
                    </w:rPr>
                  </w:pPr>
                  <w:r>
                    <w:rPr>
                      <w:rFonts w:hint="eastAsia" w:ascii="Times New Roman" w:hAnsi="Times New Roman" w:cs="Times New Roman"/>
                      <w:b/>
                      <w:bCs/>
                      <w:color w:val="auto"/>
                      <w:sz w:val="21"/>
                      <w:szCs w:val="21"/>
                      <w:highlight w:val="none"/>
                      <w:vertAlign w:val="baseline"/>
                      <w:lang w:val="en-US" w:eastAsia="zh-CN"/>
                    </w:rPr>
                    <w:t>文件要求</w:t>
                  </w:r>
                </w:p>
              </w:tc>
              <w:tc>
                <w:tcPr>
                  <w:tcW w:w="1900" w:type="pct"/>
                  <w:noWrap w:val="0"/>
                  <w:vAlign w:val="center"/>
                </w:tcPr>
                <w:p w14:paraId="2B5983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vertAlign w:val="baseline"/>
                      <w:lang w:val="en-US" w:eastAsia="zh-CN"/>
                    </w:rPr>
                  </w:pPr>
                  <w:r>
                    <w:rPr>
                      <w:rFonts w:hint="eastAsia" w:ascii="Times New Roman" w:hAnsi="Times New Roman" w:cs="Times New Roman"/>
                      <w:b/>
                      <w:bCs/>
                      <w:color w:val="auto"/>
                      <w:sz w:val="21"/>
                      <w:szCs w:val="21"/>
                      <w:highlight w:val="none"/>
                      <w:vertAlign w:val="baseline"/>
                      <w:lang w:val="en-US" w:eastAsia="zh-CN"/>
                    </w:rPr>
                    <w:t>本项目情况</w:t>
                  </w:r>
                </w:p>
              </w:tc>
              <w:tc>
                <w:tcPr>
                  <w:tcW w:w="537" w:type="pct"/>
                  <w:noWrap w:val="0"/>
                  <w:vAlign w:val="center"/>
                </w:tcPr>
                <w:p w14:paraId="0BA427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cs="Times New Roman"/>
                      <w:b/>
                      <w:bCs/>
                      <w:color w:val="auto"/>
                      <w:sz w:val="21"/>
                      <w:szCs w:val="21"/>
                      <w:highlight w:val="none"/>
                      <w:vertAlign w:val="baseline"/>
                      <w:lang w:val="en-US" w:eastAsia="zh-CN"/>
                    </w:rPr>
                  </w:pPr>
                  <w:r>
                    <w:rPr>
                      <w:rFonts w:hint="eastAsia" w:ascii="Times New Roman" w:hAnsi="Times New Roman" w:cs="Times New Roman"/>
                      <w:b/>
                      <w:bCs/>
                      <w:color w:val="auto"/>
                      <w:sz w:val="21"/>
                      <w:szCs w:val="21"/>
                      <w:highlight w:val="none"/>
                      <w:vertAlign w:val="baseline"/>
                      <w:lang w:val="en-US" w:eastAsia="zh-CN"/>
                    </w:rPr>
                    <w:t>是否</w:t>
                  </w:r>
                </w:p>
                <w:p w14:paraId="47F69C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vertAlign w:val="baseline"/>
                      <w:lang w:val="en-US" w:eastAsia="zh-CN"/>
                    </w:rPr>
                  </w:pPr>
                  <w:r>
                    <w:rPr>
                      <w:rFonts w:hint="eastAsia" w:ascii="Times New Roman" w:hAnsi="Times New Roman" w:cs="Times New Roman"/>
                      <w:b/>
                      <w:bCs/>
                      <w:color w:val="auto"/>
                      <w:sz w:val="21"/>
                      <w:szCs w:val="21"/>
                      <w:highlight w:val="none"/>
                      <w:vertAlign w:val="baseline"/>
                      <w:lang w:val="en-US" w:eastAsia="zh-CN"/>
                    </w:rPr>
                    <w:t>符合</w:t>
                  </w:r>
                </w:p>
              </w:tc>
            </w:tr>
            <w:tr w14:paraId="13AB8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3" w:hRule="atLeast"/>
              </w:trPr>
              <w:tc>
                <w:tcPr>
                  <w:tcW w:w="679" w:type="pct"/>
                  <w:noWrap w:val="0"/>
                  <w:vAlign w:val="center"/>
                </w:tcPr>
                <w:p w14:paraId="54117B2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工艺选用要求</w:t>
                  </w:r>
                </w:p>
              </w:tc>
              <w:tc>
                <w:tcPr>
                  <w:tcW w:w="1882" w:type="pct"/>
                  <w:noWrap w:val="0"/>
                  <w:vAlign w:val="center"/>
                </w:tcPr>
                <w:p w14:paraId="715C60F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应根据废气特性选择合适的吸附处理工艺，生产过程中产生连续稳定的低浓度有机废气的，宜考虑固定床、移动床或转轮吸附处理技术。当废气中含有漆雾、油滴及颗粒物（超过1mg/m</w:t>
                  </w:r>
                  <w:r>
                    <w:rPr>
                      <w:rFonts w:hint="eastAsia" w:ascii="Times New Roman" w:hAnsi="Times New Roman" w:cs="Times New Roman"/>
                      <w:b w:val="0"/>
                      <w:bCs w:val="0"/>
                      <w:color w:val="auto"/>
                      <w:sz w:val="21"/>
                      <w:szCs w:val="21"/>
                      <w:highlight w:val="none"/>
                      <w:vertAlign w:val="superscript"/>
                      <w:lang w:val="en-US" w:eastAsia="zh-CN"/>
                    </w:rPr>
                    <w:t>3</w:t>
                  </w:r>
                  <w:r>
                    <w:rPr>
                      <w:rFonts w:hint="eastAsia" w:ascii="Times New Roman" w:hAnsi="Times New Roman" w:cs="Times New Roman"/>
                      <w:b w:val="0"/>
                      <w:bCs w:val="0"/>
                      <w:color w:val="auto"/>
                      <w:sz w:val="21"/>
                      <w:szCs w:val="21"/>
                      <w:highlight w:val="none"/>
                      <w:vertAlign w:val="baseline"/>
                      <w:lang w:val="en-US" w:eastAsia="zh-CN"/>
                    </w:rPr>
                    <w:t>）时，应配备除油、除尘等高效前处理技术，最大限度减少漆雾、油滴及颗粒物对吸附材料的影响。</w:t>
                  </w:r>
                </w:p>
              </w:tc>
              <w:tc>
                <w:tcPr>
                  <w:tcW w:w="1900" w:type="pct"/>
                  <w:noWrap w:val="0"/>
                  <w:vAlign w:val="center"/>
                </w:tcPr>
                <w:p w14:paraId="19185F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 xml:space="preserve">  项目废气为连续稳定的低浓度有机废气，且废气中不含漆雾、油滴及颗粒物，选用活性炭吸附床技术。根据该文件活性炭更换周期要求“一般条件下，应优先采用颗粒炭”。环评要求建设单位采用颗粒活性炭。</w:t>
                  </w:r>
                </w:p>
              </w:tc>
              <w:tc>
                <w:tcPr>
                  <w:tcW w:w="537" w:type="pct"/>
                  <w:noWrap w:val="0"/>
                  <w:vAlign w:val="center"/>
                </w:tcPr>
                <w:p w14:paraId="3E6DA1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符合</w:t>
                  </w:r>
                </w:p>
              </w:tc>
            </w:tr>
            <w:tr w14:paraId="7A1AF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679" w:type="pct"/>
                  <w:noWrap w:val="0"/>
                  <w:vAlign w:val="center"/>
                </w:tcPr>
                <w:p w14:paraId="4F82D5E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废气收集单元性能要求</w:t>
                  </w:r>
                </w:p>
              </w:tc>
              <w:tc>
                <w:tcPr>
                  <w:tcW w:w="1882" w:type="pct"/>
                  <w:noWrap w:val="0"/>
                  <w:vAlign w:val="center"/>
                </w:tcPr>
                <w:p w14:paraId="47E2BBD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废气设施的处理能力应按废气的处理量确定，设计风量宜按照最大废气排放量的120%以上进行设计。当使用外部排风罩（集气罩）时，对于距排风罩开口面最远处的VOCs无组织排放位置，控制风速不得低于0.3m/s。</w:t>
                  </w:r>
                </w:p>
              </w:tc>
              <w:tc>
                <w:tcPr>
                  <w:tcW w:w="1900" w:type="pct"/>
                  <w:noWrap w:val="0"/>
                  <w:vAlign w:val="top"/>
                </w:tcPr>
                <w:p w14:paraId="02E24C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本项目的设计风量系数按最低风量的120%进行设计。过油机采用外部集气罩，罩口处平均风速取值1.05m/s，根据《简明通风设计手册》罩口风速与罩口处最远处的控制风速的速度关系图，可知最远处控制风速大于0.3m/s。</w:t>
                  </w:r>
                </w:p>
              </w:tc>
              <w:tc>
                <w:tcPr>
                  <w:tcW w:w="537" w:type="pct"/>
                  <w:noWrap w:val="0"/>
                  <w:vAlign w:val="top"/>
                </w:tcPr>
                <w:p w14:paraId="6ADFD3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符合</w:t>
                  </w:r>
                </w:p>
              </w:tc>
            </w:tr>
            <w:tr w14:paraId="5C999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9" w:type="pct"/>
                  <w:noWrap w:val="0"/>
                  <w:vAlign w:val="center"/>
                </w:tcPr>
                <w:p w14:paraId="11E98AA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预处理单元性能要求</w:t>
                  </w:r>
                </w:p>
              </w:tc>
              <w:tc>
                <w:tcPr>
                  <w:tcW w:w="1882" w:type="pct"/>
                  <w:noWrap w:val="0"/>
                  <w:vAlign w:val="center"/>
                </w:tcPr>
                <w:p w14:paraId="45690C6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对于进入活性炭吸附装置的废气，其颗粒物含量不超过1mg/m</w:t>
                  </w:r>
                  <w:r>
                    <w:rPr>
                      <w:rFonts w:hint="eastAsia" w:ascii="Times New Roman" w:hAnsi="Times New Roman" w:cs="Times New Roman"/>
                      <w:b w:val="0"/>
                      <w:bCs w:val="0"/>
                      <w:color w:val="auto"/>
                      <w:sz w:val="21"/>
                      <w:szCs w:val="21"/>
                      <w:highlight w:val="none"/>
                      <w:vertAlign w:val="superscript"/>
                      <w:lang w:val="en-US" w:eastAsia="zh-CN"/>
                    </w:rPr>
                    <w:t>3</w:t>
                  </w:r>
                  <w:r>
                    <w:rPr>
                      <w:rFonts w:hint="eastAsia" w:ascii="Times New Roman" w:hAnsi="Times New Roman" w:cs="Times New Roman"/>
                      <w:b w:val="0"/>
                      <w:bCs w:val="0"/>
                      <w:color w:val="auto"/>
                      <w:sz w:val="21"/>
                      <w:szCs w:val="21"/>
                      <w:highlight w:val="none"/>
                      <w:vertAlign w:val="baseline"/>
                      <w:lang w:val="en-US" w:eastAsia="zh-CN"/>
                    </w:rPr>
                    <w:t>，温度宜控制在40°C以下，相对湿度宜低于70%，有机物的浓度应低于其爆炸极限下限的25%。</w:t>
                  </w:r>
                </w:p>
              </w:tc>
              <w:tc>
                <w:tcPr>
                  <w:tcW w:w="1900" w:type="pct"/>
                  <w:noWrap w:val="0"/>
                  <w:vAlign w:val="top"/>
                </w:tcPr>
                <w:p w14:paraId="4ACA42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查阅《包装印刷业有机废气治理工程技术规范》、《排污许可证申请与核发技术规范 印刷工业》，未将颗粒物列为特征污染物，因此视颗粒物符合近气要求。类比同类项目，印刷废气温度约20</w:t>
                  </w:r>
                  <w:r>
                    <w:rPr>
                      <w:rFonts w:hint="eastAsia" w:cs="Times New Roman"/>
                      <w:b w:val="0"/>
                      <w:bCs w:val="0"/>
                      <w:color w:val="auto"/>
                      <w:sz w:val="21"/>
                      <w:szCs w:val="21"/>
                      <w:highlight w:val="none"/>
                      <w:vertAlign w:val="baseline"/>
                      <w:lang w:val="en-US" w:eastAsia="zh-CN"/>
                    </w:rPr>
                    <w:t>~</w:t>
                  </w:r>
                  <w:r>
                    <w:rPr>
                      <w:rFonts w:hint="eastAsia" w:ascii="Times New Roman" w:hAnsi="Times New Roman" w:cs="Times New Roman"/>
                      <w:b w:val="0"/>
                      <w:bCs w:val="0"/>
                      <w:color w:val="auto"/>
                      <w:sz w:val="21"/>
                      <w:szCs w:val="21"/>
                      <w:highlight w:val="none"/>
                      <w:vertAlign w:val="baseline"/>
                      <w:lang w:val="en-US" w:eastAsia="zh-CN"/>
                    </w:rPr>
                    <w:t>25°C，且为低浓度废气，因此，有机物浓度以及湿度符合要求。</w:t>
                  </w:r>
                </w:p>
              </w:tc>
              <w:tc>
                <w:tcPr>
                  <w:tcW w:w="537" w:type="pct"/>
                  <w:noWrap w:val="0"/>
                  <w:vAlign w:val="top"/>
                </w:tcPr>
                <w:p w14:paraId="64B985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符合</w:t>
                  </w:r>
                </w:p>
              </w:tc>
            </w:tr>
            <w:tr w14:paraId="36649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9" w:type="pct"/>
                  <w:noWrap w:val="0"/>
                  <w:vAlign w:val="center"/>
                </w:tcPr>
                <w:p w14:paraId="41A57D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吸附单元要求</w:t>
                  </w:r>
                </w:p>
              </w:tc>
              <w:tc>
                <w:tcPr>
                  <w:tcW w:w="1882" w:type="pct"/>
                  <w:noWrap w:val="0"/>
                  <w:vAlign w:val="center"/>
                </w:tcPr>
                <w:p w14:paraId="734D20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采用颗粒状吸附剂时，气体流速宜低于0.6m/s，装填厚度不宜低于300mm。碘吸附值不低于800mg/g或四氯化碳吸附率不低于60%，</w:t>
                  </w:r>
                </w:p>
              </w:tc>
              <w:tc>
                <w:tcPr>
                  <w:tcW w:w="1900" w:type="pct"/>
                  <w:noWrap w:val="0"/>
                  <w:vAlign w:val="center"/>
                </w:tcPr>
                <w:p w14:paraId="04C64B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 xml:space="preserve">   由表</w:t>
                  </w:r>
                  <w:r>
                    <w:rPr>
                      <w:rFonts w:hint="eastAsia" w:cs="Times New Roman"/>
                      <w:b w:val="0"/>
                      <w:bCs w:val="0"/>
                      <w:color w:val="auto"/>
                      <w:sz w:val="21"/>
                      <w:szCs w:val="21"/>
                      <w:highlight w:val="none"/>
                      <w:vertAlign w:val="baseline"/>
                      <w:lang w:val="en-US" w:eastAsia="zh-CN"/>
                    </w:rPr>
                    <w:t>4-3</w:t>
                  </w:r>
                  <w:r>
                    <w:rPr>
                      <w:rFonts w:hint="eastAsia" w:ascii="Times New Roman" w:hAnsi="Times New Roman" w:cs="Times New Roman"/>
                      <w:b w:val="0"/>
                      <w:bCs w:val="0"/>
                      <w:color w:val="auto"/>
                      <w:sz w:val="21"/>
                      <w:szCs w:val="21"/>
                      <w:highlight w:val="none"/>
                      <w:vertAlign w:val="baseline"/>
                      <w:lang w:val="en-US" w:eastAsia="zh-CN"/>
                    </w:rPr>
                    <w:t>可知，过滤风速为0.</w:t>
                  </w:r>
                  <w:r>
                    <w:rPr>
                      <w:rFonts w:hint="eastAsia" w:cs="Times New Roman"/>
                      <w:b w:val="0"/>
                      <w:bCs w:val="0"/>
                      <w:color w:val="auto"/>
                      <w:sz w:val="21"/>
                      <w:szCs w:val="21"/>
                      <w:highlight w:val="none"/>
                      <w:vertAlign w:val="baseline"/>
                      <w:lang w:val="en-US" w:eastAsia="zh-CN"/>
                    </w:rPr>
                    <w:t>58</w:t>
                  </w:r>
                  <w:r>
                    <w:rPr>
                      <w:rFonts w:hint="eastAsia" w:ascii="Times New Roman" w:hAnsi="Times New Roman" w:cs="Times New Roman"/>
                      <w:b w:val="0"/>
                      <w:bCs w:val="0"/>
                      <w:color w:val="auto"/>
                      <w:sz w:val="21"/>
                      <w:szCs w:val="21"/>
                      <w:highlight w:val="none"/>
                      <w:vertAlign w:val="baseline"/>
                      <w:lang w:val="en-US" w:eastAsia="zh-CN"/>
                    </w:rPr>
                    <w:t>9m/s＜0.6m/s，装填厚度为300mm。环评要求建设单位购买的颗粒炭，碘值应不低于800mg/g。</w:t>
                  </w:r>
                </w:p>
              </w:tc>
              <w:tc>
                <w:tcPr>
                  <w:tcW w:w="537" w:type="pct"/>
                  <w:noWrap w:val="0"/>
                  <w:vAlign w:val="center"/>
                </w:tcPr>
                <w:p w14:paraId="3F0B68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符合</w:t>
                  </w:r>
                </w:p>
              </w:tc>
            </w:tr>
            <w:tr w14:paraId="7D8E0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9" w:type="pct"/>
                  <w:noWrap w:val="0"/>
                  <w:vAlign w:val="center"/>
                </w:tcPr>
                <w:p w14:paraId="174A06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环评审查要求</w:t>
                  </w:r>
                </w:p>
              </w:tc>
              <w:tc>
                <w:tcPr>
                  <w:tcW w:w="1882" w:type="pct"/>
                  <w:noWrap w:val="0"/>
                  <w:vAlign w:val="center"/>
                </w:tcPr>
                <w:p w14:paraId="67E5F9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 xml:space="preserve">   新、改、扩建项目涉及挥发性有机物排放的，应明确拟采用的活性炭工艺的炭层厚度、过滤面积、过滤风速、装填数量、更换周期等内容。</w:t>
                  </w:r>
                </w:p>
              </w:tc>
              <w:tc>
                <w:tcPr>
                  <w:tcW w:w="1900" w:type="pct"/>
                  <w:noWrap w:val="0"/>
                  <w:vAlign w:val="center"/>
                </w:tcPr>
                <w:p w14:paraId="3D0247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 xml:space="preserve">   环评在表</w:t>
                  </w:r>
                  <w:r>
                    <w:rPr>
                      <w:rFonts w:hint="eastAsia" w:cs="Times New Roman"/>
                      <w:b w:val="0"/>
                      <w:bCs w:val="0"/>
                      <w:color w:val="auto"/>
                      <w:sz w:val="21"/>
                      <w:szCs w:val="21"/>
                      <w:highlight w:val="none"/>
                      <w:vertAlign w:val="baseline"/>
                      <w:lang w:val="en-US" w:eastAsia="zh-CN"/>
                    </w:rPr>
                    <w:t>4-3</w:t>
                  </w:r>
                  <w:r>
                    <w:rPr>
                      <w:rFonts w:hint="eastAsia" w:ascii="Times New Roman" w:hAnsi="Times New Roman" w:cs="Times New Roman"/>
                      <w:b w:val="0"/>
                      <w:bCs w:val="0"/>
                      <w:color w:val="auto"/>
                      <w:sz w:val="21"/>
                      <w:szCs w:val="21"/>
                      <w:highlight w:val="none"/>
                      <w:vertAlign w:val="baseline"/>
                      <w:lang w:val="en-US" w:eastAsia="zh-CN"/>
                    </w:rPr>
                    <w:t>中，明确活性炭吸附装置炭层厚度、过滤面积、风速、装填量、更换周期等参数。</w:t>
                  </w:r>
                </w:p>
              </w:tc>
              <w:tc>
                <w:tcPr>
                  <w:tcW w:w="537" w:type="pct"/>
                  <w:noWrap w:val="0"/>
                  <w:vAlign w:val="center"/>
                </w:tcPr>
                <w:p w14:paraId="6D2125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符合</w:t>
                  </w:r>
                </w:p>
              </w:tc>
            </w:tr>
          </w:tbl>
          <w:p w14:paraId="0A120ACC">
            <w:pPr>
              <w:pStyle w:val="81"/>
              <w:numPr>
                <w:ilvl w:val="0"/>
                <w:numId w:val="0"/>
              </w:numPr>
              <w:suppressLineNumbers w:val="0"/>
              <w:spacing w:before="120" w:beforeLines="50" w:beforeAutospacing="0" w:afterAutospacing="0" w:line="360" w:lineRule="auto"/>
              <w:ind w:leftChars="200" w:right="0"/>
              <w:rPr>
                <w:rFonts w:hint="default" w:ascii="Times New Roman" w:eastAsia="宋体" w:cs="Times New Roman"/>
                <w:b/>
                <w:color w:val="auto"/>
                <w:sz w:val="24"/>
                <w:szCs w:val="32"/>
                <w:highlight w:val="none"/>
                <w:lang w:val="en-US" w:eastAsia="zh-CN"/>
              </w:rPr>
            </w:pPr>
            <w:r>
              <w:rPr>
                <w:rFonts w:hint="eastAsia" w:ascii="Times New Roman" w:eastAsia="宋体" w:cs="Times New Roman"/>
                <w:b/>
                <w:color w:val="auto"/>
                <w:sz w:val="24"/>
                <w:szCs w:val="32"/>
                <w:highlight w:val="none"/>
                <w:lang w:val="en-US" w:eastAsia="zh-CN"/>
              </w:rPr>
              <w:t xml:space="preserve"> 3、环境影响及达标情况分析</w:t>
            </w:r>
          </w:p>
          <w:p w14:paraId="394A89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有组织</w:t>
            </w:r>
            <w:r>
              <w:rPr>
                <w:rFonts w:hint="eastAsia" w:ascii="Times New Roman" w:hAnsi="Times New Roman" w:cs="Times New Roman"/>
                <w:color w:val="auto"/>
                <w:sz w:val="24"/>
                <w:szCs w:val="24"/>
                <w:highlight w:val="none"/>
                <w:lang w:val="en-US" w:eastAsia="zh-CN"/>
              </w:rPr>
              <w:t>：</w:t>
            </w:r>
          </w:p>
          <w:p w14:paraId="412F64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根据前文的排放标准分析，排放标准对非甲烷总烃、总VOCs、臭气浓度提出了管控要求。其中</w:t>
            </w:r>
            <w:r>
              <w:rPr>
                <w:rFonts w:hint="default" w:ascii="Times New Roman" w:hAnsi="Times New Roman" w:eastAsia="宋体" w:cs="Times New Roman"/>
                <w:b w:val="0"/>
                <w:bCs w:val="0"/>
                <w:color w:val="auto"/>
                <w:sz w:val="24"/>
                <w:szCs w:val="24"/>
                <w:highlight w:val="none"/>
                <w:vertAlign w:val="baseline"/>
                <w:lang w:val="en-US" w:eastAsia="zh-CN"/>
              </w:rPr>
              <w:t>NMHC</w:t>
            </w:r>
            <w:r>
              <w:rPr>
                <w:rFonts w:hint="eastAsia" w:ascii="Times New Roman" w:hAnsi="Times New Roman" w:eastAsia="宋体" w:cs="Times New Roman"/>
                <w:b w:val="0"/>
                <w:bCs w:val="0"/>
                <w:color w:val="auto"/>
                <w:sz w:val="24"/>
                <w:szCs w:val="24"/>
                <w:highlight w:val="none"/>
                <w:vertAlign w:val="baseline"/>
                <w:lang w:val="en-US" w:eastAsia="zh-CN"/>
              </w:rPr>
              <w:t>执行</w:t>
            </w:r>
            <w:r>
              <w:rPr>
                <w:rFonts w:hint="default" w:ascii="Times New Roman" w:hAnsi="Times New Roman" w:eastAsia="宋体" w:cs="Times New Roman"/>
                <w:color w:val="auto"/>
                <w:sz w:val="24"/>
                <w:szCs w:val="24"/>
                <w:highlight w:val="none"/>
                <w:lang w:val="en-US" w:eastAsia="zh-CN"/>
              </w:rPr>
              <w:t>《印刷工业大气污染物排放标准》（GB41616-2022）</w:t>
            </w:r>
            <w:r>
              <w:rPr>
                <w:rFonts w:hint="eastAsia" w:ascii="Times New Roman" w:hAnsi="Times New Roman" w:eastAsia="宋体" w:cs="Times New Roman"/>
                <w:color w:val="auto"/>
                <w:sz w:val="24"/>
                <w:szCs w:val="24"/>
                <w:highlight w:val="none"/>
                <w:lang w:val="en-US" w:eastAsia="zh-CN"/>
              </w:rPr>
              <w:t>表1；</w:t>
            </w:r>
            <w:r>
              <w:rPr>
                <w:rFonts w:hint="default" w:ascii="Times New Roman" w:hAnsi="Times New Roman" w:eastAsia="宋体" w:cs="Times New Roman"/>
                <w:b w:val="0"/>
                <w:bCs w:val="0"/>
                <w:color w:val="auto"/>
                <w:sz w:val="24"/>
                <w:szCs w:val="24"/>
                <w:highlight w:val="none"/>
                <w:vertAlign w:val="baseline"/>
                <w:lang w:val="en-US" w:eastAsia="zh-CN"/>
              </w:rPr>
              <w:t>总VOC</w:t>
            </w:r>
            <w:r>
              <w:rPr>
                <w:rFonts w:hint="eastAsia" w:ascii="Times New Roman" w:hAnsi="Times New Roman" w:eastAsia="宋体" w:cs="Times New Roman"/>
                <w:b w:val="0"/>
                <w:bCs w:val="0"/>
                <w:color w:val="auto"/>
                <w:sz w:val="24"/>
                <w:szCs w:val="24"/>
                <w:highlight w:val="none"/>
                <w:vertAlign w:val="baseline"/>
                <w:lang w:val="en-US" w:eastAsia="zh-CN"/>
              </w:rPr>
              <w:t>执行</w:t>
            </w:r>
            <w:r>
              <w:rPr>
                <w:rFonts w:hint="default" w:ascii="Times New Roman" w:hAnsi="Times New Roman" w:eastAsia="宋体" w:cs="Times New Roman"/>
                <w:color w:val="auto"/>
                <w:sz w:val="24"/>
                <w:szCs w:val="24"/>
                <w:highlight w:val="none"/>
              </w:rPr>
              <w:t>《印刷行业挥发性有机化合物排放标准》(DB44/815-2010)</w:t>
            </w:r>
            <w:r>
              <w:rPr>
                <w:rFonts w:hint="eastAsia" w:ascii="Times New Roman" w:hAnsi="Times New Roman" w:eastAsia="宋体" w:cs="Times New Roman"/>
                <w:color w:val="auto"/>
                <w:sz w:val="24"/>
                <w:szCs w:val="24"/>
                <w:highlight w:val="none"/>
                <w:lang w:val="en-US" w:eastAsia="zh-CN"/>
              </w:rPr>
              <w:t>表2 Ⅱ时段</w:t>
            </w:r>
            <w:r>
              <w:rPr>
                <w:rFonts w:hint="eastAsia" w:ascii="Times New Roman" w:hAnsi="Times New Roman" w:eastAsia="宋体" w:cs="Times New Roman"/>
                <w:color w:val="auto"/>
                <w:sz w:val="24"/>
                <w:szCs w:val="24"/>
                <w:highlight w:val="none"/>
                <w:lang w:eastAsia="zh-CN"/>
              </w:rPr>
              <w:t>。</w:t>
            </w:r>
          </w:p>
          <w:p w14:paraId="586F64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cs="Times New Roman"/>
                <w:color w:val="auto"/>
                <w:sz w:val="24"/>
                <w:szCs w:val="24"/>
                <w:highlight w:val="none"/>
                <w:vertAlign w:val="baseline"/>
                <w:lang w:val="en-US" w:eastAsia="zh-CN"/>
              </w:rPr>
            </w:pPr>
            <w:r>
              <w:rPr>
                <w:rFonts w:hint="eastAsia" w:ascii="Times New Roman" w:hAnsi="Times New Roman" w:cs="Times New Roman"/>
                <w:color w:val="auto"/>
                <w:sz w:val="24"/>
                <w:szCs w:val="24"/>
                <w:highlight w:val="none"/>
                <w:lang w:val="en-US" w:eastAsia="zh-CN"/>
              </w:rPr>
              <w:t>由上文的废气源强分析，可知排气筒DA001的非甲烷总烃排放浓度为0.</w:t>
            </w:r>
            <w:r>
              <w:rPr>
                <w:rFonts w:hint="eastAsia" w:cs="Times New Roman"/>
                <w:color w:val="auto"/>
                <w:sz w:val="24"/>
                <w:szCs w:val="24"/>
                <w:highlight w:val="none"/>
                <w:lang w:val="en-US" w:eastAsia="zh-CN"/>
              </w:rPr>
              <w:t>9</w:t>
            </w:r>
            <w:r>
              <w:rPr>
                <w:rFonts w:hint="eastAsia" w:ascii="Times New Roman" w:hAnsi="Times New Roman" w:cs="Times New Roman"/>
                <w:color w:val="auto"/>
                <w:sz w:val="24"/>
                <w:szCs w:val="24"/>
                <w:highlight w:val="none"/>
                <w:lang w:val="en-US" w:eastAsia="zh-CN"/>
              </w:rPr>
              <w:t>1mg/m</w:t>
            </w:r>
            <w:r>
              <w:rPr>
                <w:rFonts w:hint="eastAsia" w:ascii="Times New Roman" w:hAnsi="Times New Roman" w:cs="Times New Roman"/>
                <w:color w:val="auto"/>
                <w:sz w:val="24"/>
                <w:szCs w:val="24"/>
                <w:highlight w:val="none"/>
                <w:vertAlign w:val="superscript"/>
                <w:lang w:val="en-US" w:eastAsia="zh-CN"/>
              </w:rPr>
              <w:t>3</w:t>
            </w:r>
            <w:r>
              <w:rPr>
                <w:rFonts w:hint="eastAsia" w:ascii="Times New Roman" w:hAnsi="Times New Roman" w:cs="Times New Roman"/>
                <w:color w:val="auto"/>
                <w:sz w:val="24"/>
                <w:szCs w:val="24"/>
                <w:highlight w:val="none"/>
                <w:vertAlign w:val="baseline"/>
                <w:lang w:val="en-US" w:eastAsia="zh-CN"/>
              </w:rPr>
              <w:t>＜70mg/m</w:t>
            </w:r>
            <w:r>
              <w:rPr>
                <w:rFonts w:hint="eastAsia" w:ascii="Times New Roman" w:hAnsi="Times New Roman" w:cs="Times New Roman"/>
                <w:color w:val="auto"/>
                <w:sz w:val="24"/>
                <w:szCs w:val="24"/>
                <w:highlight w:val="none"/>
                <w:vertAlign w:val="superscript"/>
                <w:lang w:val="en-US" w:eastAsia="zh-CN"/>
              </w:rPr>
              <w:t>3</w:t>
            </w:r>
            <w:r>
              <w:rPr>
                <w:rFonts w:hint="eastAsia" w:ascii="Times New Roman" w:hAnsi="Times New Roman" w:cs="Times New Roman"/>
                <w:color w:val="auto"/>
                <w:sz w:val="24"/>
                <w:szCs w:val="24"/>
                <w:highlight w:val="none"/>
                <w:vertAlign w:val="baseline"/>
                <w:lang w:val="en-US" w:eastAsia="zh-CN"/>
              </w:rPr>
              <w:t>，因此非甲烷总烃满足达标排放要求。臭气浓度经集气罩以及活性炭吸附后，经</w:t>
            </w:r>
            <w:r>
              <w:rPr>
                <w:rFonts w:hint="eastAsia" w:cs="Times New Roman"/>
                <w:color w:val="auto"/>
                <w:sz w:val="24"/>
                <w:szCs w:val="24"/>
                <w:highlight w:val="none"/>
                <w:vertAlign w:val="baseline"/>
                <w:lang w:val="en-US" w:eastAsia="zh-CN"/>
              </w:rPr>
              <w:t>15</w:t>
            </w:r>
            <w:r>
              <w:rPr>
                <w:rFonts w:hint="eastAsia" w:ascii="Times New Roman" w:hAnsi="Times New Roman" w:cs="Times New Roman"/>
                <w:color w:val="auto"/>
                <w:sz w:val="24"/>
                <w:szCs w:val="24"/>
                <w:highlight w:val="none"/>
                <w:vertAlign w:val="baseline"/>
                <w:lang w:val="en-US" w:eastAsia="zh-CN"/>
              </w:rPr>
              <w:t>米排气筒排放，可满足《恶臭污染物排放标准》（GB14554-93）表2恶臭污染物排放标准值要求。</w:t>
            </w:r>
          </w:p>
          <w:p w14:paraId="5B617B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eastAsia" w:ascii="Times New Roman" w:hAnsi="Times New Roman" w:cs="Times New Roman"/>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vertAlign w:val="baseline"/>
                <w:lang w:val="en-US" w:eastAsia="zh-CN"/>
              </w:rPr>
              <w:t>无组织</w:t>
            </w:r>
            <w:r>
              <w:rPr>
                <w:rFonts w:hint="eastAsia" w:ascii="Times New Roman" w:hAnsi="Times New Roman" w:cs="Times New Roman"/>
                <w:color w:val="auto"/>
                <w:sz w:val="24"/>
                <w:szCs w:val="24"/>
                <w:highlight w:val="none"/>
                <w:vertAlign w:val="baseline"/>
                <w:lang w:val="en-US" w:eastAsia="zh-CN"/>
              </w:rPr>
              <w:t>：</w:t>
            </w:r>
          </w:p>
          <w:p w14:paraId="2FD9891C">
            <w:pPr>
              <w:keepNext w:val="0"/>
              <w:keepLines w:val="0"/>
              <w:suppressLineNumbers w:val="0"/>
              <w:adjustRightInd w:val="0"/>
              <w:snapToGrid w:val="0"/>
              <w:spacing w:before="0" w:beforeAutospacing="0" w:after="0" w:afterAutospacing="0" w:line="360" w:lineRule="auto"/>
              <w:ind w:left="0" w:right="0" w:firstLine="480" w:firstLineChars="200"/>
              <w:jc w:val="both"/>
              <w:rPr>
                <w:rFonts w:hint="eastAsia" w:ascii="Times New Roman" w:hAnsi="Times New Roman" w:cs="Times New Roman"/>
                <w:color w:val="auto"/>
                <w:sz w:val="24"/>
                <w:szCs w:val="24"/>
                <w:highlight w:val="none"/>
                <w:vertAlign w:val="baseline"/>
                <w:lang w:val="en-US" w:eastAsia="zh-CN"/>
              </w:rPr>
            </w:pPr>
            <w:r>
              <w:rPr>
                <w:rFonts w:hint="eastAsia" w:ascii="Times New Roman" w:hAnsi="Times New Roman" w:cs="Times New Roman"/>
                <w:color w:val="auto"/>
                <w:sz w:val="24"/>
                <w:szCs w:val="24"/>
                <w:highlight w:val="none"/>
                <w:vertAlign w:val="baseline"/>
                <w:lang w:val="en-US" w:eastAsia="zh-CN"/>
              </w:rPr>
              <w:t>通过加强车间管理，厂区内的非甲烷总烃排放可以达到</w:t>
            </w:r>
            <w:r>
              <w:rPr>
                <w:rFonts w:hint="eastAsia" w:ascii="Times New Roman" w:hAnsi="Times New Roman" w:cs="Times New Roman"/>
                <w:color w:val="auto"/>
                <w:sz w:val="24"/>
                <w:szCs w:val="24"/>
                <w:highlight w:val="none"/>
                <w:lang w:val="en-US" w:eastAsia="zh-CN"/>
              </w:rPr>
              <w:t>《印刷工业大气污染物排放标准》（GB41616-2022）表A.1的要求</w:t>
            </w:r>
            <w:r>
              <w:rPr>
                <w:rFonts w:hint="eastAsia" w:ascii="Times New Roman" w:hAnsi="Times New Roman" w:eastAsia="宋体" w:cs="Times New Roman"/>
                <w:color w:val="auto"/>
                <w:sz w:val="24"/>
                <w:highlight w:val="none"/>
                <w:lang w:val="en-US" w:eastAsia="zh-CN"/>
              </w:rPr>
              <w:t>以及</w:t>
            </w:r>
            <w:r>
              <w:rPr>
                <w:rFonts w:hint="default" w:ascii="Times New Roman" w:hAnsi="Times New Roman" w:eastAsia="宋体" w:cs="Times New Roman"/>
                <w:color w:val="auto"/>
                <w:sz w:val="24"/>
                <w:highlight w:val="none"/>
                <w:lang w:val="en-US" w:eastAsia="zh-CN"/>
              </w:rPr>
              <w:t>广东省地方标准《固定污染源挥发性有机物综合排放标准》（DB44/2367-2022）表3厂区内VOCs无组织排放限值两者较严值</w:t>
            </w:r>
            <w:r>
              <w:rPr>
                <w:rFonts w:hint="eastAsia" w:ascii="Times New Roman" w:hAnsi="Times New Roman" w:cs="Times New Roman"/>
                <w:color w:val="auto"/>
                <w:sz w:val="24"/>
                <w:szCs w:val="24"/>
                <w:highlight w:val="none"/>
                <w:lang w:val="en-US" w:eastAsia="zh-CN"/>
              </w:rPr>
              <w:t>；总VOCs可以达到《印刷行业挥发性有机物化合物排放标准》（DB44/815-2010）的厂界限值要求。臭气浓度无组织排放可达到</w:t>
            </w:r>
            <w:r>
              <w:rPr>
                <w:rFonts w:hint="eastAsia" w:ascii="Times New Roman" w:hAnsi="Times New Roman" w:cs="Times New Roman"/>
                <w:color w:val="auto"/>
                <w:sz w:val="24"/>
                <w:szCs w:val="24"/>
                <w:highlight w:val="none"/>
                <w:vertAlign w:val="baseline"/>
                <w:lang w:val="en-US" w:eastAsia="zh-CN"/>
              </w:rPr>
              <w:t>《恶臭污染物排放标准》（GB14554-93）表1 恶臭污染物厂界二级新改扩建项目标准值要求。</w:t>
            </w:r>
          </w:p>
          <w:p w14:paraId="060A62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cs="Times New Roman"/>
                <w:color w:val="auto"/>
                <w:sz w:val="24"/>
                <w:szCs w:val="24"/>
                <w:highlight w:val="none"/>
                <w:vertAlign w:val="baseline"/>
                <w:lang w:val="en-US" w:eastAsia="zh-CN"/>
              </w:rPr>
            </w:pPr>
            <w:r>
              <w:rPr>
                <w:rFonts w:hint="eastAsia" w:ascii="Times New Roman" w:hAnsi="Times New Roman" w:cs="Times New Roman"/>
                <w:color w:val="auto"/>
                <w:sz w:val="24"/>
                <w:szCs w:val="24"/>
                <w:highlight w:val="none"/>
                <w:vertAlign w:val="baseline"/>
                <w:lang w:val="en-US" w:eastAsia="zh-CN"/>
              </w:rPr>
              <w:t>因此，在保证污染防治措施（包含原料的替代削减措施、收集措施、末端治理措施）正常运行的情况下，本项目大气污染物排放对区域环境空气质量影响较小。</w:t>
            </w:r>
          </w:p>
          <w:p w14:paraId="7D3B56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4、排放口基本情况</w:t>
            </w:r>
          </w:p>
          <w:p w14:paraId="132F20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本项目共设置1个排气筒，排气筒基本情况见下表：</w:t>
            </w:r>
          </w:p>
          <w:p w14:paraId="3838F0AD">
            <w:pPr>
              <w:keepNext w:val="0"/>
              <w:keepLines w:val="0"/>
              <w:suppressLineNumbers w:val="0"/>
              <w:spacing w:before="0" w:beforeAutospacing="0" w:after="0" w:afterAutospacing="0"/>
              <w:ind w:left="0" w:right="0"/>
              <w:jc w:val="center"/>
              <w:rPr>
                <w:rFonts w:hint="eastAsia" w:ascii="Times New Roman" w:hAnsi="Times New Roman" w:cs="Times New Roman"/>
                <w:b/>
                <w:bCs/>
                <w:color w:val="auto"/>
                <w:highlight w:val="none"/>
                <w:lang w:val="en-US" w:eastAsia="zh-CN"/>
              </w:rPr>
            </w:pPr>
            <w:r>
              <w:rPr>
                <w:rFonts w:hint="eastAsia" w:ascii="Times New Roman" w:hAnsi="Times New Roman" w:cs="Times New Roman"/>
                <w:b/>
                <w:bCs/>
                <w:color w:val="auto"/>
                <w:highlight w:val="none"/>
                <w:lang w:val="en-US" w:eastAsia="zh-CN"/>
              </w:rPr>
              <w:t>表</w:t>
            </w:r>
            <w:r>
              <w:rPr>
                <w:rFonts w:hint="eastAsia" w:cs="Times New Roman"/>
                <w:b/>
                <w:bCs/>
                <w:color w:val="auto"/>
                <w:highlight w:val="none"/>
                <w:lang w:val="en-US" w:eastAsia="zh-CN"/>
              </w:rPr>
              <w:t>4-7</w:t>
            </w:r>
            <w:r>
              <w:rPr>
                <w:rFonts w:hint="eastAsia" w:ascii="Times New Roman" w:hAnsi="Times New Roman" w:cs="Times New Roman"/>
                <w:b/>
                <w:bCs/>
                <w:color w:val="auto"/>
                <w:highlight w:val="none"/>
                <w:lang w:val="en-US" w:eastAsia="zh-CN"/>
              </w:rPr>
              <w:t xml:space="preserve">  项目排放口基本情况一览表</w:t>
            </w:r>
          </w:p>
          <w:tbl>
            <w:tblPr>
              <w:tblStyle w:val="32"/>
              <w:tblW w:w="75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7"/>
              <w:gridCol w:w="1025"/>
              <w:gridCol w:w="629"/>
              <w:gridCol w:w="647"/>
              <w:gridCol w:w="677"/>
              <w:gridCol w:w="1637"/>
              <w:gridCol w:w="1545"/>
            </w:tblGrid>
            <w:tr w14:paraId="71316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377" w:type="dxa"/>
                  <w:noWrap w:val="0"/>
                  <w:vAlign w:val="center"/>
                </w:tcPr>
                <w:p w14:paraId="3B08EC69">
                  <w:pPr>
                    <w:pStyle w:val="27"/>
                    <w:keepNext w:val="0"/>
                    <w:keepLines w:val="0"/>
                    <w:suppressLineNumbers w:val="0"/>
                    <w:spacing w:before="0" w:beforeAutospacing="0" w:after="0" w:afterAutospacing="0"/>
                    <w:ind w:left="0" w:leftChars="0" w:right="0" w:firstLine="0" w:firstLineChars="0"/>
                    <w:jc w:val="center"/>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排放口编号</w:t>
                  </w:r>
                </w:p>
              </w:tc>
              <w:tc>
                <w:tcPr>
                  <w:tcW w:w="1025" w:type="dxa"/>
                  <w:noWrap w:val="0"/>
                  <w:vAlign w:val="center"/>
                </w:tcPr>
                <w:p w14:paraId="39DF9C4C">
                  <w:pPr>
                    <w:pStyle w:val="27"/>
                    <w:keepNext w:val="0"/>
                    <w:keepLines w:val="0"/>
                    <w:suppressLineNumbers w:val="0"/>
                    <w:spacing w:before="0" w:beforeAutospacing="0" w:after="0" w:afterAutospacing="0"/>
                    <w:ind w:left="0" w:leftChars="0" w:right="0" w:firstLine="0" w:firstLineChars="0"/>
                    <w:jc w:val="center"/>
                    <w:rPr>
                      <w:rFonts w:hint="eastAsia"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排放口</w:t>
                  </w:r>
                </w:p>
                <w:p w14:paraId="287D7E92">
                  <w:pPr>
                    <w:pStyle w:val="27"/>
                    <w:keepNext w:val="0"/>
                    <w:keepLines w:val="0"/>
                    <w:suppressLineNumbers w:val="0"/>
                    <w:spacing w:before="0" w:beforeAutospacing="0" w:after="0" w:afterAutospacing="0"/>
                    <w:ind w:left="0" w:leftChars="0" w:right="0" w:firstLine="0" w:firstLineChars="0"/>
                    <w:jc w:val="center"/>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类型</w:t>
                  </w:r>
                </w:p>
              </w:tc>
              <w:tc>
                <w:tcPr>
                  <w:tcW w:w="629" w:type="dxa"/>
                  <w:noWrap w:val="0"/>
                  <w:vAlign w:val="center"/>
                </w:tcPr>
                <w:p w14:paraId="059AF24A">
                  <w:pPr>
                    <w:pStyle w:val="27"/>
                    <w:keepNext w:val="0"/>
                    <w:keepLines w:val="0"/>
                    <w:suppressLineNumbers w:val="0"/>
                    <w:spacing w:before="0" w:beforeAutospacing="0" w:after="0" w:afterAutospacing="0"/>
                    <w:ind w:left="0" w:leftChars="0" w:right="0" w:firstLine="0" w:firstLineChars="0"/>
                    <w:jc w:val="center"/>
                    <w:rPr>
                      <w:rFonts w:hint="eastAsia" w:cs="Times New Roman"/>
                      <w:color w:val="auto"/>
                      <w:highlight w:val="none"/>
                      <w:lang w:val="en-US" w:eastAsia="zh-CN"/>
                    </w:rPr>
                  </w:pPr>
                  <w:r>
                    <w:rPr>
                      <w:rFonts w:hint="eastAsia" w:cs="Times New Roman"/>
                      <w:color w:val="auto"/>
                      <w:highlight w:val="none"/>
                      <w:lang w:val="en-US" w:eastAsia="zh-CN"/>
                    </w:rPr>
                    <w:t>高度</w:t>
                  </w:r>
                </w:p>
                <w:p w14:paraId="20275AD1">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sz w:val="21"/>
                      <w:szCs w:val="21"/>
                      <w:highlight w:val="none"/>
                      <w:vertAlign w:val="baseline"/>
                      <w:lang w:val="en-US" w:eastAsia="zh-CN"/>
                    </w:rPr>
                    <w:t>m</w:t>
                  </w:r>
                </w:p>
              </w:tc>
              <w:tc>
                <w:tcPr>
                  <w:tcW w:w="647" w:type="dxa"/>
                  <w:noWrap w:val="0"/>
                  <w:vAlign w:val="center"/>
                </w:tcPr>
                <w:p w14:paraId="70359406">
                  <w:pPr>
                    <w:pStyle w:val="27"/>
                    <w:keepNext w:val="0"/>
                    <w:keepLines w:val="0"/>
                    <w:suppressLineNumbers w:val="0"/>
                    <w:spacing w:before="0" w:beforeAutospacing="0" w:after="0" w:afterAutospacing="0"/>
                    <w:ind w:left="0" w:leftChars="0" w:right="0" w:firstLine="0" w:firstLineChars="0"/>
                    <w:jc w:val="center"/>
                    <w:rPr>
                      <w:rFonts w:hint="eastAsia" w:cs="Times New Roman"/>
                      <w:color w:val="auto"/>
                      <w:highlight w:val="none"/>
                      <w:lang w:val="en-US" w:eastAsia="zh-CN"/>
                    </w:rPr>
                  </w:pPr>
                  <w:r>
                    <w:rPr>
                      <w:rFonts w:hint="eastAsia" w:cs="Times New Roman"/>
                      <w:color w:val="auto"/>
                      <w:highlight w:val="none"/>
                      <w:lang w:val="en-US" w:eastAsia="zh-CN"/>
                    </w:rPr>
                    <w:t>内径</w:t>
                  </w:r>
                </w:p>
                <w:p w14:paraId="6A77E6D9">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sz w:val="21"/>
                      <w:szCs w:val="21"/>
                      <w:highlight w:val="none"/>
                      <w:vertAlign w:val="baseline"/>
                      <w:lang w:val="en-US" w:eastAsia="zh-CN"/>
                    </w:rPr>
                    <w:t>m</w:t>
                  </w:r>
                </w:p>
              </w:tc>
              <w:tc>
                <w:tcPr>
                  <w:tcW w:w="677" w:type="dxa"/>
                  <w:noWrap w:val="0"/>
                  <w:vAlign w:val="center"/>
                </w:tcPr>
                <w:p w14:paraId="19AB728A">
                  <w:pPr>
                    <w:pStyle w:val="27"/>
                    <w:keepNext w:val="0"/>
                    <w:keepLines w:val="0"/>
                    <w:suppressLineNumbers w:val="0"/>
                    <w:spacing w:before="0" w:beforeAutospacing="0" w:after="0" w:afterAutospacing="0"/>
                    <w:ind w:left="0" w:leftChars="0" w:right="0" w:firstLine="0" w:firstLineChars="0"/>
                    <w:jc w:val="center"/>
                    <w:rPr>
                      <w:rFonts w:hint="eastAsia" w:cs="Times New Roman"/>
                      <w:color w:val="auto"/>
                      <w:highlight w:val="none"/>
                      <w:lang w:val="en-US" w:eastAsia="zh-CN"/>
                    </w:rPr>
                  </w:pPr>
                  <w:r>
                    <w:rPr>
                      <w:rFonts w:hint="eastAsia" w:cs="Times New Roman"/>
                      <w:color w:val="auto"/>
                      <w:highlight w:val="none"/>
                      <w:lang w:val="en-US" w:eastAsia="zh-CN"/>
                    </w:rPr>
                    <w:t>温度</w:t>
                  </w:r>
                </w:p>
                <w:p w14:paraId="1DA762A2">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°C</w:t>
                  </w:r>
                </w:p>
              </w:tc>
              <w:tc>
                <w:tcPr>
                  <w:tcW w:w="1637" w:type="dxa"/>
                  <w:noWrap w:val="0"/>
                  <w:vAlign w:val="center"/>
                </w:tcPr>
                <w:p w14:paraId="75467D06">
                  <w:pPr>
                    <w:pStyle w:val="27"/>
                    <w:keepNext w:val="0"/>
                    <w:keepLines w:val="0"/>
                    <w:suppressLineNumbers w:val="0"/>
                    <w:spacing w:before="0" w:beforeAutospacing="0" w:after="0" w:afterAutospacing="0"/>
                    <w:ind w:left="0" w:leftChars="0" w:right="0" w:firstLine="0" w:firstLineChars="0"/>
                    <w:jc w:val="center"/>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经度</w:t>
                  </w:r>
                </w:p>
              </w:tc>
              <w:tc>
                <w:tcPr>
                  <w:tcW w:w="1545" w:type="dxa"/>
                  <w:noWrap w:val="0"/>
                  <w:vAlign w:val="center"/>
                </w:tcPr>
                <w:p w14:paraId="7924AE7B">
                  <w:pPr>
                    <w:pStyle w:val="27"/>
                    <w:keepNext w:val="0"/>
                    <w:keepLines w:val="0"/>
                    <w:suppressLineNumbers w:val="0"/>
                    <w:spacing w:before="0" w:beforeAutospacing="0" w:after="0" w:afterAutospacing="0"/>
                    <w:ind w:left="0" w:leftChars="0" w:right="0" w:firstLine="0" w:firstLineChars="0"/>
                    <w:jc w:val="center"/>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纬度</w:t>
                  </w:r>
                </w:p>
              </w:tc>
            </w:tr>
            <w:tr w14:paraId="7C043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377" w:type="dxa"/>
                  <w:noWrap w:val="0"/>
                  <w:vAlign w:val="center"/>
                </w:tcPr>
                <w:p w14:paraId="4C3AF181">
                  <w:pPr>
                    <w:pStyle w:val="27"/>
                    <w:keepNext w:val="0"/>
                    <w:keepLines w:val="0"/>
                    <w:suppressLineNumbers w:val="0"/>
                    <w:spacing w:before="0" w:beforeAutospacing="0" w:after="0" w:afterAutospacing="0"/>
                    <w:ind w:left="0" w:leftChars="0" w:right="0" w:firstLine="0" w:firstLineChars="0"/>
                    <w:jc w:val="center"/>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印刷废气排放口DA001</w:t>
                  </w:r>
                </w:p>
              </w:tc>
              <w:tc>
                <w:tcPr>
                  <w:tcW w:w="1025" w:type="dxa"/>
                  <w:noWrap w:val="0"/>
                  <w:vAlign w:val="center"/>
                </w:tcPr>
                <w:p w14:paraId="2CADEFC0">
                  <w:pPr>
                    <w:pStyle w:val="27"/>
                    <w:keepNext w:val="0"/>
                    <w:keepLines w:val="0"/>
                    <w:suppressLineNumbers w:val="0"/>
                    <w:spacing w:before="0" w:beforeAutospacing="0" w:after="0" w:afterAutospacing="0"/>
                    <w:ind w:left="0" w:leftChars="0" w:right="0" w:firstLine="0" w:firstLineChars="0"/>
                    <w:jc w:val="center"/>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一般排放口</w:t>
                  </w:r>
                </w:p>
              </w:tc>
              <w:tc>
                <w:tcPr>
                  <w:tcW w:w="629" w:type="dxa"/>
                  <w:noWrap w:val="0"/>
                  <w:vAlign w:val="center"/>
                </w:tcPr>
                <w:p w14:paraId="3364C520">
                  <w:pPr>
                    <w:pStyle w:val="27"/>
                    <w:keepNext w:val="0"/>
                    <w:keepLines w:val="0"/>
                    <w:suppressLineNumbers w:val="0"/>
                    <w:spacing w:before="0" w:beforeAutospacing="0" w:after="0" w:afterAutospacing="0"/>
                    <w:ind w:left="0" w:leftChars="0" w:right="0" w:firstLine="0" w:firstLineChars="0"/>
                    <w:jc w:val="center"/>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15</w:t>
                  </w:r>
                </w:p>
              </w:tc>
              <w:tc>
                <w:tcPr>
                  <w:tcW w:w="647" w:type="dxa"/>
                  <w:noWrap w:val="0"/>
                  <w:vAlign w:val="center"/>
                </w:tcPr>
                <w:p w14:paraId="7503C7C7">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w:t>
                  </w:r>
                  <w:r>
                    <w:rPr>
                      <w:rFonts w:hint="eastAsia" w:cs="Times New Roman"/>
                      <w:color w:val="auto"/>
                      <w:highlight w:val="none"/>
                      <w:lang w:val="en-US" w:eastAsia="zh-CN"/>
                    </w:rPr>
                    <w:t>5</w:t>
                  </w:r>
                </w:p>
              </w:tc>
              <w:tc>
                <w:tcPr>
                  <w:tcW w:w="677" w:type="dxa"/>
                  <w:noWrap w:val="0"/>
                  <w:vAlign w:val="center"/>
                </w:tcPr>
                <w:p w14:paraId="0EE79F65">
                  <w:pPr>
                    <w:pStyle w:val="27"/>
                    <w:keepNext w:val="0"/>
                    <w:keepLines w:val="0"/>
                    <w:suppressLineNumbers w:val="0"/>
                    <w:spacing w:before="0" w:beforeAutospacing="0" w:after="0" w:afterAutospacing="0"/>
                    <w:ind w:left="0" w:leftChars="0" w:right="0" w:firstLine="0" w:firstLineChars="0"/>
                    <w:jc w:val="center"/>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25</w:t>
                  </w:r>
                </w:p>
              </w:tc>
              <w:tc>
                <w:tcPr>
                  <w:tcW w:w="1637" w:type="dxa"/>
                  <w:noWrap w:val="0"/>
                  <w:vAlign w:val="center"/>
                </w:tcPr>
                <w:p w14:paraId="553D40A1">
                  <w:pPr>
                    <w:pStyle w:val="27"/>
                    <w:keepNext w:val="0"/>
                    <w:keepLines w:val="0"/>
                    <w:suppressLineNumbers w:val="0"/>
                    <w:spacing w:before="0" w:beforeAutospacing="0" w:after="0" w:afterAutospacing="0"/>
                    <w:ind w:left="0" w:leftChars="0" w:right="0" w:firstLine="0" w:firstLineChars="0"/>
                    <w:jc w:val="center"/>
                    <w:rPr>
                      <w:rFonts w:hint="eastAsia"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112.046299°</w:t>
                  </w:r>
                </w:p>
              </w:tc>
              <w:tc>
                <w:tcPr>
                  <w:tcW w:w="1545" w:type="dxa"/>
                  <w:noWrap w:val="0"/>
                  <w:vAlign w:val="center"/>
                </w:tcPr>
                <w:p w14:paraId="457FDA04">
                  <w:pPr>
                    <w:pStyle w:val="27"/>
                    <w:keepNext w:val="0"/>
                    <w:keepLines w:val="0"/>
                    <w:suppressLineNumbers w:val="0"/>
                    <w:spacing w:before="0" w:beforeAutospacing="0" w:after="0" w:afterAutospacing="0"/>
                    <w:ind w:left="0" w:leftChars="0" w:right="0" w:firstLine="0" w:firstLineChars="0"/>
                    <w:jc w:val="center"/>
                    <w:rPr>
                      <w:rFonts w:hint="eastAsia"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21.927666°</w:t>
                  </w:r>
                </w:p>
              </w:tc>
            </w:tr>
          </w:tbl>
          <w:p w14:paraId="19A2376F">
            <w:pPr>
              <w:pStyle w:val="81"/>
              <w:numPr>
                <w:ilvl w:val="0"/>
                <w:numId w:val="0"/>
              </w:numPr>
              <w:suppressLineNumbers w:val="0"/>
              <w:spacing w:before="120" w:beforeLines="50" w:beforeAutospacing="0" w:afterAutospacing="0" w:line="360" w:lineRule="auto"/>
              <w:ind w:leftChars="300" w:right="0"/>
              <w:rPr>
                <w:rFonts w:hint="eastAsia" w:ascii="Times New Roman" w:eastAsia="宋体" w:cs="Times New Roman"/>
                <w:b/>
                <w:color w:val="auto"/>
                <w:sz w:val="24"/>
                <w:szCs w:val="32"/>
                <w:highlight w:val="none"/>
                <w:lang w:val="en-US" w:eastAsia="zh-CN"/>
              </w:rPr>
            </w:pPr>
            <w:r>
              <w:rPr>
                <w:rFonts w:hint="eastAsia" w:ascii="Times New Roman" w:eastAsia="宋体" w:cs="Times New Roman"/>
                <w:b/>
                <w:color w:val="auto"/>
                <w:sz w:val="24"/>
                <w:szCs w:val="32"/>
                <w:highlight w:val="none"/>
                <w:lang w:val="en-US" w:eastAsia="zh-CN"/>
              </w:rPr>
              <w:t>5、自行监测计划</w:t>
            </w:r>
          </w:p>
          <w:p w14:paraId="604F98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Times New Roman" w:hAnsi="Times New Roman" w:eastAsia="宋体" w:cs="Times New Roman"/>
                <w:color w:val="auto"/>
                <w:sz w:val="24"/>
                <w:szCs w:val="32"/>
                <w:highlight w:val="none"/>
                <w:lang w:val="en-US" w:eastAsia="zh-CN"/>
              </w:rPr>
            </w:pPr>
            <w:r>
              <w:rPr>
                <w:rFonts w:hint="eastAsia" w:ascii="Times New Roman" w:hAnsi="Times New Roman" w:cs="Times New Roman"/>
                <w:color w:val="auto"/>
                <w:highlight w:val="none"/>
                <w:lang w:val="en-US" w:eastAsia="zh-CN"/>
              </w:rPr>
              <w:t xml:space="preserve">     </w:t>
            </w:r>
            <w:r>
              <w:rPr>
                <w:rFonts w:hint="eastAsia" w:ascii="Times New Roman" w:hAnsi="Times New Roman" w:cs="Times New Roman"/>
                <w:color w:val="auto"/>
                <w:sz w:val="24"/>
                <w:szCs w:val="24"/>
                <w:highlight w:val="none"/>
                <w:lang w:val="en-US" w:eastAsia="zh-CN"/>
              </w:rPr>
              <w:t>本项目属于简化管理，根据</w:t>
            </w:r>
            <w:r>
              <w:rPr>
                <w:rFonts w:hint="default" w:ascii="Times New Roman" w:hAnsi="Times New Roman" w:eastAsia="宋体" w:cs="Times New Roman"/>
                <w:color w:val="auto"/>
                <w:sz w:val="24"/>
                <w:szCs w:val="32"/>
                <w:highlight w:val="none"/>
                <w:lang w:eastAsia="zh-CN"/>
              </w:rPr>
              <w:t>《排污</w:t>
            </w:r>
            <w:r>
              <w:rPr>
                <w:rFonts w:hint="eastAsia" w:ascii="Times New Roman" w:hAnsi="Times New Roman" w:eastAsia="宋体" w:cs="Times New Roman"/>
                <w:color w:val="auto"/>
                <w:sz w:val="24"/>
                <w:szCs w:val="32"/>
                <w:highlight w:val="none"/>
                <w:lang w:val="en-US" w:eastAsia="zh-CN"/>
              </w:rPr>
              <w:t>单位自行监测技术指南</w:t>
            </w:r>
            <w:r>
              <w:rPr>
                <w:rFonts w:hint="default" w:ascii="Times New Roman" w:hAnsi="Times New Roman" w:eastAsia="宋体" w:cs="Times New Roman"/>
                <w:color w:val="auto"/>
                <w:sz w:val="24"/>
                <w:szCs w:val="32"/>
                <w:highlight w:val="none"/>
                <w:lang w:eastAsia="zh-CN"/>
              </w:rPr>
              <w:t xml:space="preserve"> </w:t>
            </w:r>
            <w:r>
              <w:rPr>
                <w:rFonts w:hint="default" w:ascii="Times New Roman" w:hAnsi="Times New Roman" w:eastAsia="宋体" w:cs="Times New Roman"/>
                <w:color w:val="auto"/>
                <w:sz w:val="24"/>
                <w:szCs w:val="32"/>
                <w:highlight w:val="none"/>
                <w:lang w:val="en-US" w:eastAsia="zh-CN"/>
              </w:rPr>
              <w:t>印刷工业</w:t>
            </w:r>
            <w:r>
              <w:rPr>
                <w:rFonts w:hint="default" w:ascii="Times New Roman" w:hAnsi="Times New Roman" w:eastAsia="宋体" w:cs="Times New Roman"/>
                <w:color w:val="auto"/>
                <w:sz w:val="24"/>
                <w:szCs w:val="32"/>
                <w:highlight w:val="none"/>
                <w:lang w:eastAsia="zh-CN"/>
              </w:rPr>
              <w:t>》（HJ1</w:t>
            </w:r>
            <w:r>
              <w:rPr>
                <w:rFonts w:hint="eastAsia" w:ascii="Times New Roman" w:hAnsi="Times New Roman" w:eastAsia="宋体" w:cs="Times New Roman"/>
                <w:color w:val="auto"/>
                <w:sz w:val="24"/>
                <w:szCs w:val="32"/>
                <w:highlight w:val="none"/>
                <w:lang w:val="en-US" w:eastAsia="zh-CN"/>
              </w:rPr>
              <w:t>246</w:t>
            </w:r>
            <w:r>
              <w:rPr>
                <w:rFonts w:hint="default" w:ascii="Times New Roman" w:hAnsi="Times New Roman" w:eastAsia="宋体" w:cs="Times New Roman"/>
                <w:color w:val="auto"/>
                <w:sz w:val="24"/>
                <w:szCs w:val="32"/>
                <w:highlight w:val="none"/>
                <w:lang w:eastAsia="zh-CN"/>
              </w:rPr>
              <w:t>-20</w:t>
            </w:r>
            <w:r>
              <w:rPr>
                <w:rFonts w:hint="eastAsia" w:ascii="Times New Roman" w:hAnsi="Times New Roman" w:eastAsia="宋体" w:cs="Times New Roman"/>
                <w:color w:val="auto"/>
                <w:sz w:val="24"/>
                <w:szCs w:val="32"/>
                <w:highlight w:val="none"/>
                <w:lang w:val="en-US" w:eastAsia="zh-CN"/>
              </w:rPr>
              <w:t>22</w:t>
            </w:r>
            <w:r>
              <w:rPr>
                <w:rFonts w:hint="default" w:ascii="Times New Roman" w:hAnsi="Times New Roman" w:eastAsia="宋体" w:cs="Times New Roman"/>
                <w:color w:val="auto"/>
                <w:sz w:val="24"/>
                <w:szCs w:val="32"/>
                <w:highlight w:val="none"/>
                <w:lang w:eastAsia="zh-CN"/>
              </w:rPr>
              <w:t>）</w:t>
            </w:r>
            <w:r>
              <w:rPr>
                <w:rFonts w:hint="eastAsia" w:ascii="Times New Roman" w:hAnsi="Times New Roman" w:eastAsia="宋体" w:cs="Times New Roman"/>
                <w:color w:val="auto"/>
                <w:sz w:val="24"/>
                <w:szCs w:val="32"/>
                <w:highlight w:val="none"/>
                <w:lang w:val="en-US" w:eastAsia="zh-CN"/>
              </w:rPr>
              <w:t>表2，有组织废气以及无组织废气监测计划如下：</w:t>
            </w:r>
          </w:p>
          <w:p w14:paraId="600BD4B3">
            <w:pPr>
              <w:keepNext w:val="0"/>
              <w:keepLines w:val="0"/>
              <w:suppressLineNumbers w:val="0"/>
              <w:spacing w:before="0" w:beforeAutospacing="0" w:after="0" w:afterAutospacing="0"/>
              <w:ind w:left="0" w:right="0"/>
              <w:jc w:val="center"/>
              <w:rPr>
                <w:rFonts w:hint="eastAsia" w:ascii="Times New Roman" w:hAnsi="Times New Roman" w:cs="Times New Roman"/>
                <w:b/>
                <w:bCs/>
                <w:color w:val="auto"/>
                <w:highlight w:val="none"/>
                <w:lang w:val="en-US" w:eastAsia="zh-CN"/>
              </w:rPr>
            </w:pPr>
            <w:r>
              <w:rPr>
                <w:rFonts w:hint="eastAsia" w:ascii="Times New Roman" w:hAnsi="Times New Roman" w:cs="Times New Roman"/>
                <w:b/>
                <w:bCs/>
                <w:color w:val="auto"/>
                <w:highlight w:val="none"/>
                <w:lang w:val="en-US" w:eastAsia="zh-CN"/>
              </w:rPr>
              <w:t>表</w:t>
            </w:r>
            <w:r>
              <w:rPr>
                <w:rFonts w:hint="eastAsia" w:cs="Times New Roman"/>
                <w:b/>
                <w:bCs/>
                <w:color w:val="auto"/>
                <w:highlight w:val="none"/>
                <w:lang w:val="en-US" w:eastAsia="zh-CN"/>
              </w:rPr>
              <w:t>4-</w:t>
            </w:r>
            <w:r>
              <w:rPr>
                <w:rFonts w:hint="eastAsia" w:ascii="Times New Roman" w:hAnsi="Times New Roman" w:cs="Times New Roman"/>
                <w:b/>
                <w:bCs/>
                <w:color w:val="auto"/>
                <w:highlight w:val="none"/>
                <w:lang w:val="en-US" w:eastAsia="zh-CN"/>
              </w:rPr>
              <w:t>8 有组织废气监测计划一览表</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7"/>
              <w:gridCol w:w="1350"/>
              <w:gridCol w:w="1125"/>
              <w:gridCol w:w="4088"/>
            </w:tblGrid>
            <w:tr w14:paraId="66295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237" w:type="dxa"/>
                  <w:noWrap w:val="0"/>
                  <w:vAlign w:val="center"/>
                </w:tcPr>
                <w:p w14:paraId="18B23645">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highlight w:val="none"/>
                      <w:vertAlign w:val="baseline"/>
                      <w:lang w:val="en-US" w:eastAsia="zh-CN"/>
                    </w:rPr>
                  </w:pPr>
                  <w:r>
                    <w:rPr>
                      <w:rFonts w:hint="eastAsia" w:ascii="Times New Roman" w:hAnsi="Times New Roman" w:cs="Times New Roman"/>
                      <w:b/>
                      <w:bCs/>
                      <w:color w:val="auto"/>
                      <w:highlight w:val="none"/>
                      <w:vertAlign w:val="baseline"/>
                      <w:lang w:val="en-US" w:eastAsia="zh-CN"/>
                    </w:rPr>
                    <w:t>监测点位</w:t>
                  </w:r>
                </w:p>
              </w:tc>
              <w:tc>
                <w:tcPr>
                  <w:tcW w:w="1350" w:type="dxa"/>
                  <w:noWrap w:val="0"/>
                  <w:vAlign w:val="center"/>
                </w:tcPr>
                <w:p w14:paraId="2EF88DF8">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highlight w:val="none"/>
                      <w:vertAlign w:val="baseline"/>
                      <w:lang w:val="en-US" w:eastAsia="zh-CN"/>
                    </w:rPr>
                  </w:pPr>
                  <w:r>
                    <w:rPr>
                      <w:rFonts w:hint="eastAsia" w:ascii="Times New Roman" w:hAnsi="Times New Roman" w:cs="Times New Roman"/>
                      <w:b/>
                      <w:bCs/>
                      <w:color w:val="auto"/>
                      <w:highlight w:val="none"/>
                      <w:vertAlign w:val="baseline"/>
                      <w:lang w:val="en-US" w:eastAsia="zh-CN"/>
                    </w:rPr>
                    <w:t>监测指标</w:t>
                  </w:r>
                </w:p>
              </w:tc>
              <w:tc>
                <w:tcPr>
                  <w:tcW w:w="1125" w:type="dxa"/>
                  <w:noWrap w:val="0"/>
                  <w:vAlign w:val="center"/>
                </w:tcPr>
                <w:p w14:paraId="47BB26FC">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highlight w:val="none"/>
                      <w:vertAlign w:val="baseline"/>
                      <w:lang w:val="en-US" w:eastAsia="zh-CN"/>
                    </w:rPr>
                  </w:pPr>
                  <w:r>
                    <w:rPr>
                      <w:rFonts w:hint="eastAsia" w:ascii="Times New Roman" w:hAnsi="Times New Roman" w:cs="Times New Roman"/>
                      <w:b/>
                      <w:bCs/>
                      <w:color w:val="auto"/>
                      <w:highlight w:val="none"/>
                      <w:vertAlign w:val="baseline"/>
                      <w:lang w:val="en-US" w:eastAsia="zh-CN"/>
                    </w:rPr>
                    <w:t>监测频次</w:t>
                  </w:r>
                </w:p>
              </w:tc>
              <w:tc>
                <w:tcPr>
                  <w:tcW w:w="4088" w:type="dxa"/>
                  <w:noWrap w:val="0"/>
                  <w:vAlign w:val="top"/>
                </w:tcPr>
                <w:p w14:paraId="4FDB8E8F">
                  <w:pPr>
                    <w:keepNext w:val="0"/>
                    <w:keepLines w:val="0"/>
                    <w:suppressLineNumbers w:val="0"/>
                    <w:spacing w:before="0" w:beforeAutospacing="0" w:after="0" w:afterAutospacing="0"/>
                    <w:ind w:left="0" w:right="0"/>
                    <w:rPr>
                      <w:rFonts w:hint="default" w:ascii="Times New Roman" w:hAnsi="Times New Roman" w:cs="Times New Roman"/>
                      <w:b/>
                      <w:bCs/>
                      <w:color w:val="auto"/>
                      <w:highlight w:val="none"/>
                      <w:vertAlign w:val="baseline"/>
                      <w:lang w:val="en-US" w:eastAsia="zh-CN"/>
                    </w:rPr>
                  </w:pPr>
                  <w:r>
                    <w:rPr>
                      <w:rFonts w:hint="eastAsia" w:ascii="Times New Roman" w:hAnsi="Times New Roman" w:cs="Times New Roman"/>
                      <w:b/>
                      <w:bCs/>
                      <w:color w:val="auto"/>
                      <w:highlight w:val="none"/>
                      <w:vertAlign w:val="baseline"/>
                      <w:lang w:val="en-US" w:eastAsia="zh-CN"/>
                    </w:rPr>
                    <w:t>执行标准</w:t>
                  </w:r>
                </w:p>
              </w:tc>
            </w:tr>
            <w:tr w14:paraId="7B2F6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237" w:type="dxa"/>
                  <w:vMerge w:val="restart"/>
                  <w:noWrap w:val="0"/>
                  <w:vAlign w:val="center"/>
                </w:tcPr>
                <w:p w14:paraId="353AF330">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vertAlign w:val="baseline"/>
                      <w:lang w:val="en-US" w:eastAsia="zh-CN"/>
                    </w:rPr>
                  </w:pPr>
                  <w:r>
                    <w:rPr>
                      <w:rFonts w:hint="eastAsia" w:cs="Times New Roman"/>
                      <w:color w:val="auto"/>
                      <w:highlight w:val="none"/>
                      <w:vertAlign w:val="baseline"/>
                      <w:lang w:val="en-US" w:eastAsia="zh-CN"/>
                    </w:rPr>
                    <w:t>印刷</w:t>
                  </w:r>
                  <w:r>
                    <w:rPr>
                      <w:rFonts w:hint="eastAsia" w:ascii="Times New Roman" w:hAnsi="Times New Roman" w:cs="Times New Roman"/>
                      <w:color w:val="auto"/>
                      <w:highlight w:val="none"/>
                      <w:vertAlign w:val="baseline"/>
                      <w:lang w:val="en-US" w:eastAsia="zh-CN"/>
                    </w:rPr>
                    <w:t>废气排气筒</w:t>
                  </w:r>
                  <w:r>
                    <w:rPr>
                      <w:rFonts w:hint="eastAsia" w:cs="Times New Roman"/>
                      <w:color w:val="auto"/>
                      <w:highlight w:val="none"/>
                      <w:vertAlign w:val="baseline"/>
                      <w:lang w:val="en-US" w:eastAsia="zh-CN"/>
                    </w:rPr>
                    <w:t>DA001</w:t>
                  </w:r>
                </w:p>
              </w:tc>
              <w:tc>
                <w:tcPr>
                  <w:tcW w:w="1350" w:type="dxa"/>
                  <w:shd w:val="clear" w:color="auto" w:fill="auto"/>
                  <w:noWrap w:val="0"/>
                  <w:vAlign w:val="center"/>
                </w:tcPr>
                <w:p w14:paraId="09A5BFE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非甲烷总烃</w:t>
                  </w:r>
                </w:p>
              </w:tc>
              <w:tc>
                <w:tcPr>
                  <w:tcW w:w="1125" w:type="dxa"/>
                  <w:shd w:val="clear" w:color="auto" w:fill="auto"/>
                  <w:noWrap w:val="0"/>
                  <w:vAlign w:val="center"/>
                </w:tcPr>
                <w:p w14:paraId="04D328D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半年</w:t>
                  </w:r>
                </w:p>
              </w:tc>
              <w:tc>
                <w:tcPr>
                  <w:tcW w:w="4088" w:type="dxa"/>
                  <w:noWrap w:val="0"/>
                  <w:vAlign w:val="top"/>
                </w:tcPr>
                <w:p w14:paraId="13131D97">
                  <w:pPr>
                    <w:keepNext w:val="0"/>
                    <w:keepLines w:val="0"/>
                    <w:suppressLineNumbers w:val="0"/>
                    <w:spacing w:before="0" w:beforeAutospacing="0" w:after="0" w:afterAutospacing="0"/>
                    <w:ind w:left="0" w:right="0"/>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color w:val="auto"/>
                      <w:sz w:val="21"/>
                      <w:szCs w:val="21"/>
                      <w:highlight w:val="none"/>
                      <w:lang w:val="en-US" w:eastAsia="zh-CN"/>
                    </w:rPr>
                    <w:t>《印刷工业大气污染物排放标准》（GB41616-2022）</w:t>
                  </w:r>
                  <w:r>
                    <w:rPr>
                      <w:rFonts w:hint="eastAsia" w:ascii="Times New Roman" w:hAnsi="Times New Roman" w:eastAsia="宋体" w:cs="Times New Roman"/>
                      <w:color w:val="auto"/>
                      <w:sz w:val="21"/>
                      <w:szCs w:val="21"/>
                      <w:highlight w:val="none"/>
                      <w:lang w:val="en-US" w:eastAsia="zh-CN"/>
                    </w:rPr>
                    <w:t>表1</w:t>
                  </w:r>
                </w:p>
              </w:tc>
            </w:tr>
            <w:tr w14:paraId="16794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237" w:type="dxa"/>
                  <w:vMerge w:val="continue"/>
                  <w:noWrap w:val="0"/>
                  <w:vAlign w:val="center"/>
                </w:tcPr>
                <w:p w14:paraId="70587715">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vertAlign w:val="baseline"/>
                      <w:lang w:val="en-US" w:eastAsia="zh-CN"/>
                    </w:rPr>
                  </w:pPr>
                </w:p>
              </w:tc>
              <w:tc>
                <w:tcPr>
                  <w:tcW w:w="1350" w:type="dxa"/>
                  <w:noWrap w:val="0"/>
                  <w:vAlign w:val="center"/>
                </w:tcPr>
                <w:p w14:paraId="0239517F">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总VOCs</w:t>
                  </w:r>
                </w:p>
              </w:tc>
              <w:tc>
                <w:tcPr>
                  <w:tcW w:w="1125" w:type="dxa"/>
                  <w:noWrap w:val="0"/>
                  <w:vAlign w:val="center"/>
                </w:tcPr>
                <w:p w14:paraId="17943E98">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年</w:t>
                  </w:r>
                </w:p>
              </w:tc>
              <w:tc>
                <w:tcPr>
                  <w:tcW w:w="4088" w:type="dxa"/>
                  <w:noWrap w:val="0"/>
                  <w:vAlign w:val="top"/>
                </w:tcPr>
                <w:p w14:paraId="44CE6931">
                  <w:pPr>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sz w:val="21"/>
                      <w:szCs w:val="21"/>
                      <w:highlight w:val="none"/>
                    </w:rPr>
                    <w:t>《印刷行业挥发性有机化合物排放标准》(DB44/815-2010)</w:t>
                  </w:r>
                  <w:r>
                    <w:rPr>
                      <w:rFonts w:hint="eastAsia" w:ascii="Times New Roman" w:hAnsi="Times New Roman" w:eastAsia="宋体" w:cs="Times New Roman"/>
                      <w:color w:val="auto"/>
                      <w:sz w:val="21"/>
                      <w:szCs w:val="21"/>
                      <w:highlight w:val="none"/>
                      <w:lang w:val="en-US" w:eastAsia="zh-CN"/>
                    </w:rPr>
                    <w:t>表2 Ⅱ时段</w:t>
                  </w:r>
                </w:p>
              </w:tc>
            </w:tr>
            <w:tr w14:paraId="7CAD8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237" w:type="dxa"/>
                  <w:vMerge w:val="continue"/>
                  <w:noWrap w:val="0"/>
                  <w:vAlign w:val="center"/>
                </w:tcPr>
                <w:p w14:paraId="778B7BC0">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vertAlign w:val="baseline"/>
                      <w:lang w:val="en-US" w:eastAsia="zh-CN"/>
                    </w:rPr>
                  </w:pPr>
                </w:p>
              </w:tc>
              <w:tc>
                <w:tcPr>
                  <w:tcW w:w="1350" w:type="dxa"/>
                  <w:noWrap w:val="0"/>
                  <w:vAlign w:val="center"/>
                </w:tcPr>
                <w:p w14:paraId="1D26F5A2">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臭气浓度</w:t>
                  </w:r>
                </w:p>
              </w:tc>
              <w:tc>
                <w:tcPr>
                  <w:tcW w:w="1125" w:type="dxa"/>
                  <w:noWrap w:val="0"/>
                  <w:vAlign w:val="center"/>
                </w:tcPr>
                <w:p w14:paraId="3EE2AAA6">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年</w:t>
                  </w:r>
                </w:p>
              </w:tc>
              <w:tc>
                <w:tcPr>
                  <w:tcW w:w="4088" w:type="dxa"/>
                  <w:noWrap w:val="0"/>
                  <w:vAlign w:val="top"/>
                </w:tcPr>
                <w:p w14:paraId="48165B3A">
                  <w:pPr>
                    <w:keepNext w:val="0"/>
                    <w:keepLines w:val="0"/>
                    <w:suppressLineNumbers w:val="0"/>
                    <w:spacing w:before="0" w:beforeAutospacing="0" w:after="0" w:afterAutospacing="0"/>
                    <w:ind w:left="0" w:right="0"/>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《恶臭污染物排放标准》（GB14554-93）表2恶臭污染物排放标准值要求</w:t>
                  </w:r>
                </w:p>
              </w:tc>
            </w:tr>
            <w:tr w14:paraId="6A191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4" w:hRule="atLeast"/>
              </w:trPr>
              <w:tc>
                <w:tcPr>
                  <w:tcW w:w="7800" w:type="dxa"/>
                  <w:gridSpan w:val="4"/>
                  <w:noWrap w:val="0"/>
                  <w:vAlign w:val="top"/>
                </w:tcPr>
                <w:p w14:paraId="72A547F0">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备注：根据印刷工业的自行监测技术指南，产污环节</w:t>
                  </w:r>
                  <w:r>
                    <w:rPr>
                      <w:rFonts w:hint="eastAsia" w:ascii="Times New Roman" w:hAnsi="Times New Roman" w:cs="Times New Roman"/>
                      <w:b/>
                      <w:bCs/>
                      <w:color w:val="auto"/>
                      <w:sz w:val="21"/>
                      <w:szCs w:val="21"/>
                      <w:highlight w:val="none"/>
                      <w:vertAlign w:val="baseline"/>
                      <w:lang w:val="en-US" w:eastAsia="zh-CN"/>
                    </w:rPr>
                    <w:t>印刷</w:t>
                  </w:r>
                  <w:r>
                    <w:rPr>
                      <w:rFonts w:hint="eastAsia" w:ascii="Times New Roman" w:hAnsi="Times New Roman" w:cs="Times New Roman"/>
                      <w:color w:val="auto"/>
                      <w:sz w:val="21"/>
                      <w:szCs w:val="21"/>
                      <w:highlight w:val="none"/>
                      <w:vertAlign w:val="baseline"/>
                      <w:lang w:val="en-US" w:eastAsia="zh-CN"/>
                    </w:rPr>
                    <w:t>、烘干、复合、上光、涂布的，非重点排污单位的非甲烷总烃监测频次为半年；而油墨、胶粘剂、光油等储存、调配和输送等产污环节的非重点排污单位的非甲烷总烃监测频次为年。本项目有机废气排气筒同时涉印刷、调配、清洗等工艺环节，按最严监测频次考虑。</w:t>
                  </w:r>
                </w:p>
              </w:tc>
            </w:tr>
          </w:tbl>
          <w:p w14:paraId="033B4288">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rPr>
                <w:rFonts w:hint="eastAsia" w:ascii="Times New Roman" w:hAnsi="Times New Roman" w:cs="Times New Roman"/>
                <w:b/>
                <w:bCs/>
                <w:color w:val="auto"/>
                <w:highlight w:val="none"/>
                <w:lang w:val="en-US" w:eastAsia="zh-CN"/>
              </w:rPr>
            </w:pPr>
            <w:r>
              <w:rPr>
                <w:rFonts w:hint="eastAsia" w:ascii="Times New Roman" w:hAnsi="Times New Roman" w:cs="Times New Roman"/>
                <w:b/>
                <w:bCs/>
                <w:color w:val="auto"/>
                <w:highlight w:val="none"/>
                <w:lang w:val="en-US" w:eastAsia="zh-CN"/>
              </w:rPr>
              <w:t>表</w:t>
            </w:r>
            <w:r>
              <w:rPr>
                <w:rFonts w:hint="eastAsia" w:cs="Times New Roman"/>
                <w:b/>
                <w:bCs/>
                <w:color w:val="auto"/>
                <w:highlight w:val="none"/>
                <w:lang w:val="en-US" w:eastAsia="zh-CN"/>
              </w:rPr>
              <w:t>4-</w:t>
            </w:r>
            <w:r>
              <w:rPr>
                <w:rFonts w:hint="eastAsia" w:ascii="Times New Roman" w:hAnsi="Times New Roman" w:cs="Times New Roman"/>
                <w:b/>
                <w:bCs/>
                <w:color w:val="auto"/>
                <w:highlight w:val="none"/>
                <w:lang w:val="en-US" w:eastAsia="zh-CN"/>
              </w:rPr>
              <w:t>9 无组织废气监测计划一览表</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1350"/>
              <w:gridCol w:w="1260"/>
              <w:gridCol w:w="4060"/>
            </w:tblGrid>
            <w:tr w14:paraId="12465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110" w:type="dxa"/>
                  <w:noWrap w:val="0"/>
                  <w:vAlign w:val="center"/>
                </w:tcPr>
                <w:p w14:paraId="75D182B7">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highlight w:val="none"/>
                      <w:vertAlign w:val="baseline"/>
                      <w:lang w:val="en-US" w:eastAsia="zh-CN"/>
                    </w:rPr>
                  </w:pPr>
                  <w:r>
                    <w:rPr>
                      <w:rFonts w:hint="eastAsia" w:ascii="Times New Roman" w:hAnsi="Times New Roman" w:cs="Times New Roman"/>
                      <w:b/>
                      <w:bCs/>
                      <w:color w:val="auto"/>
                      <w:highlight w:val="none"/>
                      <w:vertAlign w:val="baseline"/>
                      <w:lang w:val="en-US" w:eastAsia="zh-CN"/>
                    </w:rPr>
                    <w:t>监测点位</w:t>
                  </w:r>
                </w:p>
              </w:tc>
              <w:tc>
                <w:tcPr>
                  <w:tcW w:w="1350" w:type="dxa"/>
                  <w:noWrap w:val="0"/>
                  <w:vAlign w:val="center"/>
                </w:tcPr>
                <w:p w14:paraId="69DF88D0">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highlight w:val="none"/>
                      <w:vertAlign w:val="baseline"/>
                      <w:lang w:val="en-US" w:eastAsia="zh-CN"/>
                    </w:rPr>
                  </w:pPr>
                  <w:r>
                    <w:rPr>
                      <w:rFonts w:hint="eastAsia" w:ascii="Times New Roman" w:hAnsi="Times New Roman" w:cs="Times New Roman"/>
                      <w:b/>
                      <w:bCs/>
                      <w:color w:val="auto"/>
                      <w:highlight w:val="none"/>
                      <w:vertAlign w:val="baseline"/>
                      <w:lang w:val="en-US" w:eastAsia="zh-CN"/>
                    </w:rPr>
                    <w:t>监测指标</w:t>
                  </w:r>
                </w:p>
              </w:tc>
              <w:tc>
                <w:tcPr>
                  <w:tcW w:w="1260" w:type="dxa"/>
                  <w:noWrap w:val="0"/>
                  <w:vAlign w:val="center"/>
                </w:tcPr>
                <w:p w14:paraId="610E2620">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highlight w:val="none"/>
                      <w:vertAlign w:val="baseline"/>
                      <w:lang w:val="en-US" w:eastAsia="zh-CN"/>
                    </w:rPr>
                  </w:pPr>
                  <w:r>
                    <w:rPr>
                      <w:rFonts w:hint="eastAsia" w:ascii="Times New Roman" w:hAnsi="Times New Roman" w:cs="Times New Roman"/>
                      <w:b/>
                      <w:bCs/>
                      <w:color w:val="auto"/>
                      <w:highlight w:val="none"/>
                      <w:vertAlign w:val="baseline"/>
                      <w:lang w:val="en-US" w:eastAsia="zh-CN"/>
                    </w:rPr>
                    <w:t>监测频次</w:t>
                  </w:r>
                </w:p>
              </w:tc>
              <w:tc>
                <w:tcPr>
                  <w:tcW w:w="4060" w:type="dxa"/>
                  <w:noWrap w:val="0"/>
                  <w:vAlign w:val="top"/>
                </w:tcPr>
                <w:p w14:paraId="15860240">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highlight w:val="none"/>
                      <w:vertAlign w:val="baseline"/>
                      <w:lang w:val="en-US" w:eastAsia="zh-CN"/>
                    </w:rPr>
                  </w:pPr>
                  <w:r>
                    <w:rPr>
                      <w:rFonts w:hint="eastAsia" w:ascii="Times New Roman" w:hAnsi="Times New Roman" w:cs="Times New Roman"/>
                      <w:b/>
                      <w:bCs/>
                      <w:color w:val="auto"/>
                      <w:highlight w:val="none"/>
                      <w:vertAlign w:val="baseline"/>
                      <w:lang w:val="en-US" w:eastAsia="zh-CN"/>
                    </w:rPr>
                    <w:t>执行标准</w:t>
                  </w:r>
                </w:p>
              </w:tc>
            </w:tr>
            <w:tr w14:paraId="78293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110" w:type="dxa"/>
                  <w:noWrap w:val="0"/>
                  <w:vAlign w:val="center"/>
                </w:tcPr>
                <w:p w14:paraId="39CB1EF1">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厂区内</w:t>
                  </w:r>
                </w:p>
              </w:tc>
              <w:tc>
                <w:tcPr>
                  <w:tcW w:w="1350" w:type="dxa"/>
                  <w:noWrap w:val="0"/>
                  <w:vAlign w:val="center"/>
                </w:tcPr>
                <w:p w14:paraId="2893CB4F">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非甲烷总烃</w:t>
                  </w:r>
                </w:p>
              </w:tc>
              <w:tc>
                <w:tcPr>
                  <w:tcW w:w="1260" w:type="dxa"/>
                  <w:noWrap w:val="0"/>
                  <w:vAlign w:val="center"/>
                </w:tcPr>
                <w:p w14:paraId="09C59BFF">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年</w:t>
                  </w:r>
                </w:p>
              </w:tc>
              <w:tc>
                <w:tcPr>
                  <w:tcW w:w="4060" w:type="dxa"/>
                  <w:noWrap w:val="0"/>
                  <w:vAlign w:val="top"/>
                </w:tcPr>
                <w:p w14:paraId="45FBE662">
                  <w:pPr>
                    <w:keepNext w:val="0"/>
                    <w:keepLines w:val="0"/>
                    <w:suppressLineNumbers w:val="0"/>
                    <w:spacing w:before="0" w:beforeAutospacing="0" w:after="0" w:afterAutospacing="0"/>
                    <w:ind w:left="0" w:right="0"/>
                    <w:jc w:val="both"/>
                    <w:rPr>
                      <w:rFonts w:hint="default" w:ascii="Times New Roman" w:hAnsi="Times New Roman" w:cs="Times New Roman"/>
                      <w:b/>
                      <w:bCs/>
                      <w:color w:val="auto"/>
                      <w:highlight w:val="none"/>
                      <w:vertAlign w:val="baseline"/>
                      <w:lang w:val="en-US" w:eastAsia="zh-CN"/>
                    </w:rPr>
                  </w:pPr>
                  <w:r>
                    <w:rPr>
                      <w:rFonts w:hint="eastAsia" w:ascii="Times New Roman" w:hAnsi="Times New Roman" w:cs="Times New Roman"/>
                      <w:color w:val="auto"/>
                      <w:sz w:val="21"/>
                      <w:szCs w:val="21"/>
                      <w:highlight w:val="none"/>
                      <w:lang w:val="en-US" w:eastAsia="zh-CN"/>
                    </w:rPr>
                    <w:t>《印刷工业大气污染物排放标准》（GB41616-2022）表A.1的要求</w:t>
                  </w:r>
                  <w:r>
                    <w:rPr>
                      <w:rFonts w:hint="eastAsia" w:ascii="Times New Roman" w:hAnsi="Times New Roman" w:eastAsia="宋体" w:cs="Times New Roman"/>
                      <w:color w:val="auto"/>
                      <w:sz w:val="21"/>
                      <w:szCs w:val="21"/>
                      <w:highlight w:val="none"/>
                      <w:lang w:val="en-US" w:eastAsia="zh-CN"/>
                    </w:rPr>
                    <w:t>以及</w:t>
                  </w:r>
                  <w:r>
                    <w:rPr>
                      <w:rFonts w:hint="default" w:ascii="Times New Roman" w:hAnsi="Times New Roman" w:eastAsia="宋体" w:cs="Times New Roman"/>
                      <w:color w:val="auto"/>
                      <w:sz w:val="21"/>
                      <w:szCs w:val="21"/>
                      <w:highlight w:val="none"/>
                      <w:lang w:val="en-US" w:eastAsia="zh-CN"/>
                    </w:rPr>
                    <w:t>广东省地方标准《固定污染源挥发性有机物综合排放标准》（DB44/2367-2022）表3 厂区内VOCs无组织排放限值两者较严值</w:t>
                  </w:r>
                </w:p>
              </w:tc>
            </w:tr>
            <w:tr w14:paraId="142BB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110" w:type="dxa"/>
                  <w:vMerge w:val="restart"/>
                  <w:noWrap w:val="0"/>
                  <w:vAlign w:val="center"/>
                </w:tcPr>
                <w:p w14:paraId="56B54DB5">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highlight w:val="none"/>
                      <w:vertAlign w:val="baseline"/>
                      <w:lang w:val="en-US" w:eastAsia="zh-CN"/>
                    </w:rPr>
                  </w:pPr>
                </w:p>
                <w:p w14:paraId="700C13E9">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highlight w:val="none"/>
                      <w:vertAlign w:val="baseline"/>
                      <w:lang w:val="en-US" w:eastAsia="zh-CN"/>
                    </w:rPr>
                  </w:pPr>
                </w:p>
                <w:p w14:paraId="536594CA">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厂界</w:t>
                  </w:r>
                </w:p>
              </w:tc>
              <w:tc>
                <w:tcPr>
                  <w:tcW w:w="1350" w:type="dxa"/>
                  <w:shd w:val="clear" w:color="auto" w:fill="auto"/>
                  <w:noWrap w:val="0"/>
                  <w:vAlign w:val="center"/>
                </w:tcPr>
                <w:p w14:paraId="333C1F8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4"/>
                      <w:highlight w:val="none"/>
                      <w:vertAlign w:val="baseline"/>
                      <w:lang w:val="en-US" w:eastAsia="zh-CN" w:bidi="ar-SA"/>
                    </w:rPr>
                  </w:pPr>
                  <w:r>
                    <w:rPr>
                      <w:rFonts w:hint="eastAsia" w:ascii="Times New Roman" w:hAnsi="Times New Roman" w:cs="Times New Roman"/>
                      <w:b w:val="0"/>
                      <w:bCs w:val="0"/>
                      <w:color w:val="auto"/>
                      <w:highlight w:val="none"/>
                      <w:vertAlign w:val="baseline"/>
                      <w:lang w:val="en-US" w:eastAsia="zh-CN"/>
                    </w:rPr>
                    <w:t>总VOCs</w:t>
                  </w:r>
                </w:p>
              </w:tc>
              <w:tc>
                <w:tcPr>
                  <w:tcW w:w="1260" w:type="dxa"/>
                  <w:shd w:val="clear" w:color="auto" w:fill="auto"/>
                  <w:noWrap w:val="0"/>
                  <w:vAlign w:val="center"/>
                </w:tcPr>
                <w:p w14:paraId="1F61757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4"/>
                      <w:highlight w:val="none"/>
                      <w:vertAlign w:val="baseline"/>
                      <w:lang w:val="en-US" w:eastAsia="zh-CN" w:bidi="ar-SA"/>
                    </w:rPr>
                  </w:pPr>
                  <w:r>
                    <w:rPr>
                      <w:rFonts w:hint="eastAsia" w:ascii="Times New Roman" w:hAnsi="Times New Roman" w:cs="Times New Roman"/>
                      <w:b w:val="0"/>
                      <w:bCs w:val="0"/>
                      <w:color w:val="auto"/>
                      <w:highlight w:val="none"/>
                      <w:vertAlign w:val="baseline"/>
                      <w:lang w:val="en-US" w:eastAsia="zh-CN"/>
                    </w:rPr>
                    <w:t>年</w:t>
                  </w:r>
                </w:p>
              </w:tc>
              <w:tc>
                <w:tcPr>
                  <w:tcW w:w="4060" w:type="dxa"/>
                  <w:noWrap w:val="0"/>
                  <w:vAlign w:val="center"/>
                </w:tcPr>
                <w:p w14:paraId="17852A88">
                  <w:pPr>
                    <w:keepNext w:val="0"/>
                    <w:keepLines w:val="0"/>
                    <w:suppressLineNumbers w:val="0"/>
                    <w:spacing w:before="0" w:beforeAutospacing="0" w:after="0" w:afterAutospacing="0"/>
                    <w:ind w:left="0" w:right="0"/>
                    <w:jc w:val="both"/>
                    <w:rPr>
                      <w:rFonts w:hint="default" w:ascii="Times New Roman" w:hAnsi="Times New Roman" w:cs="Times New Roman"/>
                      <w:b/>
                      <w:bCs/>
                      <w:color w:val="auto"/>
                      <w:highlight w:val="none"/>
                      <w:vertAlign w:val="baseline"/>
                      <w:lang w:val="en-US" w:eastAsia="zh-CN"/>
                    </w:rPr>
                  </w:pPr>
                  <w:r>
                    <w:rPr>
                      <w:rFonts w:hint="default" w:ascii="Times New Roman" w:hAnsi="Times New Roman" w:eastAsia="宋体" w:cs="Times New Roman"/>
                      <w:color w:val="auto"/>
                      <w:sz w:val="21"/>
                      <w:szCs w:val="21"/>
                      <w:highlight w:val="none"/>
                    </w:rPr>
                    <w:t>《印刷行业挥发性有机化合物排放标准》(DB44/815-2010)</w:t>
                  </w:r>
                  <w:r>
                    <w:rPr>
                      <w:rFonts w:hint="eastAsia" w:ascii="Times New Roman" w:hAnsi="Times New Roman" w:eastAsia="宋体" w:cs="Times New Roman"/>
                      <w:color w:val="auto"/>
                      <w:sz w:val="21"/>
                      <w:szCs w:val="21"/>
                      <w:highlight w:val="none"/>
                      <w:lang w:val="en-US" w:eastAsia="zh-CN"/>
                    </w:rPr>
                    <w:t>与</w:t>
                  </w:r>
                  <w:r>
                    <w:rPr>
                      <w:rFonts w:hint="default" w:ascii="Times New Roman" w:hAnsi="Times New Roman" w:eastAsia="宋体" w:cs="Times New Roman"/>
                      <w:color w:val="auto"/>
                      <w:sz w:val="21"/>
                      <w:szCs w:val="21"/>
                      <w:highlight w:val="none"/>
                      <w:lang w:val="en-US" w:eastAsia="zh-CN"/>
                    </w:rPr>
                    <w:t>《印刷工业大气污染物排放标准》（GB41616-2022</w:t>
                  </w:r>
                  <w:r>
                    <w:rPr>
                      <w:rFonts w:hint="eastAsia" w:ascii="Times New Roman" w:hAnsi="Times New Roman" w:eastAsia="宋体" w:cs="Times New Roman"/>
                      <w:color w:val="auto"/>
                      <w:sz w:val="21"/>
                      <w:szCs w:val="21"/>
                      <w:highlight w:val="none"/>
                      <w:lang w:val="en-US" w:eastAsia="zh-CN"/>
                    </w:rPr>
                    <w:t>）较严值</w:t>
                  </w:r>
                </w:p>
              </w:tc>
            </w:tr>
            <w:tr w14:paraId="3781D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1110" w:type="dxa"/>
                  <w:vMerge w:val="continue"/>
                  <w:noWrap w:val="0"/>
                  <w:vAlign w:val="center"/>
                </w:tcPr>
                <w:p w14:paraId="025CBCC2">
                  <w:pPr>
                    <w:keepNext w:val="0"/>
                    <w:keepLines w:val="0"/>
                    <w:suppressLineNumbers w:val="0"/>
                    <w:spacing w:before="0" w:beforeAutospacing="0" w:after="0" w:afterAutospacing="0"/>
                    <w:ind w:left="0" w:right="0"/>
                    <w:jc w:val="center"/>
                    <w:rPr>
                      <w:rFonts w:hint="default" w:ascii="Times New Roman" w:hAnsi="Times New Roman" w:cs="Times New Roman"/>
                      <w:b w:val="0"/>
                      <w:bCs w:val="0"/>
                      <w:color w:val="auto"/>
                      <w:highlight w:val="none"/>
                      <w:vertAlign w:val="baseline"/>
                      <w:lang w:val="en-US" w:eastAsia="zh-CN"/>
                    </w:rPr>
                  </w:pPr>
                </w:p>
              </w:tc>
              <w:tc>
                <w:tcPr>
                  <w:tcW w:w="1350" w:type="dxa"/>
                  <w:noWrap w:val="0"/>
                  <w:vAlign w:val="center"/>
                </w:tcPr>
                <w:p w14:paraId="6B1D5FE5">
                  <w:pPr>
                    <w:keepNext w:val="0"/>
                    <w:keepLines w:val="0"/>
                    <w:suppressLineNumbers w:val="0"/>
                    <w:spacing w:before="0" w:beforeAutospacing="0" w:after="0" w:afterAutospacing="0"/>
                    <w:ind w:left="0" w:right="0"/>
                    <w:jc w:val="center"/>
                    <w:rPr>
                      <w:rFonts w:hint="eastAsia"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臭气浓度</w:t>
                  </w:r>
                </w:p>
              </w:tc>
              <w:tc>
                <w:tcPr>
                  <w:tcW w:w="1260" w:type="dxa"/>
                  <w:noWrap w:val="0"/>
                  <w:vAlign w:val="center"/>
                </w:tcPr>
                <w:p w14:paraId="483BD631">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年</w:t>
                  </w:r>
                </w:p>
              </w:tc>
              <w:tc>
                <w:tcPr>
                  <w:tcW w:w="4060" w:type="dxa"/>
                  <w:noWrap w:val="0"/>
                  <w:vAlign w:val="center"/>
                </w:tcPr>
                <w:p w14:paraId="7DD00F7A">
                  <w:pPr>
                    <w:keepNext w:val="0"/>
                    <w:keepLines w:val="0"/>
                    <w:suppressLineNumbers w:val="0"/>
                    <w:spacing w:before="0" w:beforeAutospacing="0" w:after="0" w:afterAutospacing="0"/>
                    <w:ind w:left="0" w:right="0"/>
                    <w:jc w:val="both"/>
                    <w:rPr>
                      <w:rFonts w:hint="default" w:ascii="Times New Roman" w:hAnsi="Times New Roman" w:cs="Times New Roman"/>
                      <w:b/>
                      <w:bCs/>
                      <w:color w:val="auto"/>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《恶臭污染物排放标准》（GB14554-93）</w:t>
                  </w:r>
                </w:p>
              </w:tc>
            </w:tr>
          </w:tbl>
          <w:p w14:paraId="4B6CF9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lang w:val="en-US" w:eastAsia="zh-CN"/>
              </w:rPr>
              <w:t>6</w:t>
            </w:r>
            <w:r>
              <w:rPr>
                <w:rFonts w:hint="default" w:ascii="Times New Roman" w:hAnsi="Times New Roman" w:cs="Times New Roman"/>
                <w:b/>
                <w:bCs/>
                <w:color w:val="auto"/>
                <w:sz w:val="24"/>
                <w:szCs w:val="24"/>
                <w:highlight w:val="none"/>
              </w:rPr>
              <w:t>、非正常工况</w:t>
            </w:r>
          </w:p>
          <w:p w14:paraId="70224E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废气非正常排放是指生产过程中开停车（工、炉）、设备检修、工艺设备运转异常等非正常工况下的污染物排放，以及污染物排放控制措施达不到应有效率等情况下的排放。</w:t>
            </w:r>
          </w:p>
          <w:p w14:paraId="5DFFAE97">
            <w:pPr>
              <w:keepNext w:val="0"/>
              <w:keepLines w:val="0"/>
              <w:suppressLineNumbers w:val="0"/>
              <w:spacing w:before="0" w:beforeAutospacing="0" w:after="0" w:afterAutospacing="0"/>
              <w:ind w:left="0" w:right="0"/>
              <w:jc w:val="center"/>
              <w:rPr>
                <w:rFonts w:hint="eastAsia" w:ascii="Times New Roman" w:hAnsi="Times New Roman" w:cs="Times New Roman"/>
                <w:b/>
                <w:bCs/>
                <w:color w:val="auto"/>
                <w:highlight w:val="none"/>
                <w:lang w:val="en-US" w:eastAsia="zh-CN"/>
              </w:rPr>
            </w:pPr>
            <w:r>
              <w:rPr>
                <w:rFonts w:hint="eastAsia" w:ascii="Times New Roman" w:hAnsi="Times New Roman" w:cs="Times New Roman"/>
                <w:b/>
                <w:bCs/>
                <w:color w:val="auto"/>
                <w:highlight w:val="none"/>
                <w:lang w:val="en-US" w:eastAsia="zh-CN"/>
              </w:rPr>
              <w:t>表</w:t>
            </w:r>
            <w:r>
              <w:rPr>
                <w:rFonts w:hint="eastAsia" w:cs="Times New Roman"/>
                <w:b/>
                <w:bCs/>
                <w:color w:val="auto"/>
                <w:highlight w:val="none"/>
                <w:lang w:val="en-US" w:eastAsia="zh-CN"/>
              </w:rPr>
              <w:t>4-1</w:t>
            </w:r>
            <w:r>
              <w:rPr>
                <w:rFonts w:hint="eastAsia" w:ascii="Times New Roman" w:hAnsi="Times New Roman" w:cs="Times New Roman"/>
                <w:b/>
                <w:bCs/>
                <w:color w:val="auto"/>
                <w:highlight w:val="none"/>
                <w:lang w:val="en-US" w:eastAsia="zh-CN"/>
              </w:rPr>
              <w:t>0 项目污染源非正常工况排放情况一览表</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7"/>
              <w:gridCol w:w="1558"/>
              <w:gridCol w:w="910"/>
              <w:gridCol w:w="1278"/>
              <w:gridCol w:w="1158"/>
              <w:gridCol w:w="1396"/>
            </w:tblGrid>
            <w:tr w14:paraId="692D3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137" w:type="dxa"/>
                  <w:noWrap w:val="0"/>
                  <w:vAlign w:val="center"/>
                </w:tcPr>
                <w:p w14:paraId="710FF4F4">
                  <w:pPr>
                    <w:pStyle w:val="9"/>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240" w:lineRule="auto"/>
                    <w:ind w:right="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污染源</w:t>
                  </w:r>
                </w:p>
              </w:tc>
              <w:tc>
                <w:tcPr>
                  <w:tcW w:w="1558" w:type="dxa"/>
                  <w:noWrap w:val="0"/>
                  <w:vAlign w:val="center"/>
                </w:tcPr>
                <w:p w14:paraId="6679F056">
                  <w:pPr>
                    <w:pStyle w:val="9"/>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240" w:lineRule="auto"/>
                    <w:ind w:right="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非正常排放原因</w:t>
                  </w:r>
                </w:p>
              </w:tc>
              <w:tc>
                <w:tcPr>
                  <w:tcW w:w="4742" w:type="dxa"/>
                  <w:gridSpan w:val="4"/>
                  <w:noWrap w:val="0"/>
                  <w:vAlign w:val="center"/>
                </w:tcPr>
                <w:p w14:paraId="66EAB4D1">
                  <w:pPr>
                    <w:pStyle w:val="9"/>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240" w:lineRule="auto"/>
                    <w:ind w:right="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非正常排放状况</w:t>
                  </w:r>
                </w:p>
              </w:tc>
            </w:tr>
            <w:tr w14:paraId="3926C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137" w:type="dxa"/>
                  <w:vMerge w:val="restart"/>
                  <w:noWrap w:val="0"/>
                  <w:vAlign w:val="center"/>
                </w:tcPr>
                <w:p w14:paraId="53EFE929">
                  <w:pPr>
                    <w:pStyle w:val="9"/>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240" w:lineRule="auto"/>
                    <w:ind w:right="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排气筒DA001</w:t>
                  </w:r>
                </w:p>
              </w:tc>
              <w:tc>
                <w:tcPr>
                  <w:tcW w:w="1558" w:type="dxa"/>
                  <w:vMerge w:val="restart"/>
                  <w:noWrap w:val="0"/>
                  <w:vAlign w:val="center"/>
                </w:tcPr>
                <w:p w14:paraId="0ACD9AB3">
                  <w:pPr>
                    <w:pStyle w:val="9"/>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240" w:lineRule="auto"/>
                    <w:ind w:right="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活性炭处理设施故障</w:t>
                  </w:r>
                </w:p>
              </w:tc>
              <w:tc>
                <w:tcPr>
                  <w:tcW w:w="910" w:type="dxa"/>
                  <w:noWrap w:val="0"/>
                  <w:vAlign w:val="center"/>
                </w:tcPr>
                <w:p w14:paraId="4FFBB52E">
                  <w:pPr>
                    <w:pStyle w:val="9"/>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240" w:lineRule="auto"/>
                    <w:ind w:right="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污染物</w:t>
                  </w:r>
                </w:p>
              </w:tc>
              <w:tc>
                <w:tcPr>
                  <w:tcW w:w="1278" w:type="dxa"/>
                  <w:noWrap w:val="0"/>
                  <w:vAlign w:val="center"/>
                </w:tcPr>
                <w:p w14:paraId="154D857C">
                  <w:pPr>
                    <w:pStyle w:val="9"/>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240" w:lineRule="auto"/>
                    <w:ind w:right="0"/>
                    <w:jc w:val="center"/>
                    <w:textAlignment w:val="auto"/>
                    <w:rPr>
                      <w:rFonts w:hint="default" w:ascii="Times New Roman" w:hAnsi="Times New Roman" w:cs="Times New Roman"/>
                      <w:b w:val="0"/>
                      <w:bCs w:val="0"/>
                      <w:color w:val="auto"/>
                      <w:sz w:val="21"/>
                      <w:szCs w:val="21"/>
                      <w:highlight w:val="none"/>
                      <w:vertAlign w:val="superscript"/>
                      <w:lang w:val="en-US" w:eastAsia="zh-CN"/>
                    </w:rPr>
                  </w:pPr>
                  <w:r>
                    <w:rPr>
                      <w:rFonts w:hint="default" w:ascii="Times New Roman" w:hAnsi="Times New Roman" w:cs="Times New Roman"/>
                      <w:b w:val="0"/>
                      <w:bCs w:val="0"/>
                      <w:color w:val="auto"/>
                      <w:sz w:val="21"/>
                      <w:szCs w:val="21"/>
                      <w:highlight w:val="none"/>
                      <w:vertAlign w:val="baseline"/>
                      <w:lang w:val="en-US" w:eastAsia="zh-CN"/>
                    </w:rPr>
                    <w:t>非正常排放浓度mg/m</w:t>
                  </w:r>
                  <w:r>
                    <w:rPr>
                      <w:rFonts w:hint="default" w:ascii="Times New Roman" w:hAnsi="Times New Roman" w:cs="Times New Roman"/>
                      <w:b w:val="0"/>
                      <w:bCs w:val="0"/>
                      <w:color w:val="auto"/>
                      <w:sz w:val="21"/>
                      <w:szCs w:val="21"/>
                      <w:highlight w:val="none"/>
                      <w:vertAlign w:val="superscript"/>
                      <w:lang w:val="en-US" w:eastAsia="zh-CN"/>
                    </w:rPr>
                    <w:t>3</w:t>
                  </w:r>
                </w:p>
              </w:tc>
              <w:tc>
                <w:tcPr>
                  <w:tcW w:w="1158" w:type="dxa"/>
                  <w:noWrap w:val="0"/>
                  <w:vAlign w:val="center"/>
                </w:tcPr>
                <w:p w14:paraId="0B06D125">
                  <w:pPr>
                    <w:pStyle w:val="9"/>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240" w:lineRule="auto"/>
                    <w:ind w:right="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非正常排放速率kg/h</w:t>
                  </w:r>
                </w:p>
              </w:tc>
              <w:tc>
                <w:tcPr>
                  <w:tcW w:w="1396" w:type="dxa"/>
                  <w:noWrap w:val="0"/>
                  <w:vAlign w:val="center"/>
                </w:tcPr>
                <w:p w14:paraId="68B7F6C0">
                  <w:pPr>
                    <w:pStyle w:val="9"/>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240" w:lineRule="auto"/>
                    <w:ind w:right="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频次及持续时间</w:t>
                  </w:r>
                </w:p>
              </w:tc>
            </w:tr>
            <w:tr w14:paraId="2F535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137" w:type="dxa"/>
                  <w:vMerge w:val="continue"/>
                  <w:noWrap w:val="0"/>
                  <w:vAlign w:val="center"/>
                </w:tcPr>
                <w:p w14:paraId="116ADC80">
                  <w:pPr>
                    <w:pStyle w:val="9"/>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240" w:lineRule="auto"/>
                    <w:ind w:right="0"/>
                    <w:jc w:val="center"/>
                    <w:textAlignment w:val="auto"/>
                    <w:rPr>
                      <w:rFonts w:hint="default" w:ascii="Times New Roman" w:hAnsi="Times New Roman" w:cs="Times New Roman"/>
                      <w:b w:val="0"/>
                      <w:bCs w:val="0"/>
                      <w:color w:val="auto"/>
                      <w:sz w:val="21"/>
                      <w:szCs w:val="21"/>
                      <w:highlight w:val="none"/>
                      <w:vertAlign w:val="baseline"/>
                      <w:lang w:val="en-US" w:eastAsia="zh-CN"/>
                    </w:rPr>
                  </w:pPr>
                </w:p>
              </w:tc>
              <w:tc>
                <w:tcPr>
                  <w:tcW w:w="1558" w:type="dxa"/>
                  <w:vMerge w:val="continue"/>
                  <w:noWrap w:val="0"/>
                  <w:vAlign w:val="center"/>
                </w:tcPr>
                <w:p w14:paraId="255B6231">
                  <w:pPr>
                    <w:pStyle w:val="9"/>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240" w:lineRule="auto"/>
                    <w:ind w:right="0"/>
                    <w:jc w:val="center"/>
                    <w:textAlignment w:val="auto"/>
                    <w:rPr>
                      <w:rFonts w:hint="default" w:ascii="Times New Roman" w:hAnsi="Times New Roman" w:cs="Times New Roman"/>
                      <w:b w:val="0"/>
                      <w:bCs w:val="0"/>
                      <w:color w:val="auto"/>
                      <w:sz w:val="21"/>
                      <w:szCs w:val="21"/>
                      <w:highlight w:val="none"/>
                      <w:vertAlign w:val="baseline"/>
                      <w:lang w:val="en-US" w:eastAsia="zh-CN"/>
                    </w:rPr>
                  </w:pPr>
                </w:p>
              </w:tc>
              <w:tc>
                <w:tcPr>
                  <w:tcW w:w="910" w:type="dxa"/>
                  <w:noWrap w:val="0"/>
                  <w:vAlign w:val="center"/>
                </w:tcPr>
                <w:p w14:paraId="3A5DDA7D">
                  <w:pPr>
                    <w:pStyle w:val="9"/>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240" w:lineRule="auto"/>
                    <w:ind w:right="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非甲烷总烃</w:t>
                  </w:r>
                </w:p>
              </w:tc>
              <w:tc>
                <w:tcPr>
                  <w:tcW w:w="1278" w:type="dxa"/>
                  <w:noWrap w:val="0"/>
                  <w:vAlign w:val="center"/>
                </w:tcPr>
                <w:p w14:paraId="4002AC0D">
                  <w:pPr>
                    <w:pStyle w:val="9"/>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240" w:lineRule="auto"/>
                    <w:ind w:right="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4.55</w:t>
                  </w:r>
                </w:p>
              </w:tc>
              <w:tc>
                <w:tcPr>
                  <w:tcW w:w="1158" w:type="dxa"/>
                  <w:noWrap w:val="0"/>
                  <w:vAlign w:val="center"/>
                </w:tcPr>
                <w:p w14:paraId="1FA55EE6">
                  <w:pPr>
                    <w:pStyle w:val="9"/>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240" w:lineRule="auto"/>
                    <w:ind w:right="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0.</w:t>
                  </w:r>
                  <w:r>
                    <w:rPr>
                      <w:rFonts w:hint="eastAsia" w:cs="Times New Roman"/>
                      <w:b w:val="0"/>
                      <w:bCs w:val="0"/>
                      <w:color w:val="auto"/>
                      <w:sz w:val="21"/>
                      <w:szCs w:val="21"/>
                      <w:highlight w:val="none"/>
                      <w:vertAlign w:val="baseline"/>
                      <w:lang w:val="en-US" w:eastAsia="zh-CN"/>
                    </w:rPr>
                    <w:t>0364</w:t>
                  </w:r>
                </w:p>
              </w:tc>
              <w:tc>
                <w:tcPr>
                  <w:tcW w:w="1396" w:type="dxa"/>
                  <w:noWrap w:val="0"/>
                  <w:vAlign w:val="center"/>
                </w:tcPr>
                <w:p w14:paraId="4716F22D">
                  <w:pPr>
                    <w:pStyle w:val="9"/>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240" w:lineRule="auto"/>
                    <w:ind w:right="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w:t>
                  </w:r>
                  <w:r>
                    <w:rPr>
                      <w:rFonts w:hint="default" w:ascii="Times New Roman" w:hAnsi="Times New Roman" w:cs="Times New Roman"/>
                      <w:b w:val="0"/>
                      <w:bCs w:val="0"/>
                      <w:color w:val="auto"/>
                      <w:sz w:val="21"/>
                      <w:szCs w:val="21"/>
                      <w:highlight w:val="none"/>
                      <w:vertAlign w:val="baseline"/>
                      <w:lang w:val="en-US" w:eastAsia="zh-CN"/>
                    </w:rPr>
                    <w:t>次/年，1h/次</w:t>
                  </w:r>
                </w:p>
              </w:tc>
            </w:tr>
          </w:tbl>
          <w:p w14:paraId="27CA9457">
            <w:pPr>
              <w:pStyle w:val="9"/>
              <w:keepNext w:val="0"/>
              <w:keepLines w:val="0"/>
              <w:pageBreakBefore w:val="0"/>
              <w:widowControl w:val="0"/>
              <w:numPr>
                <w:ilvl w:val="0"/>
                <w:numId w:val="0"/>
              </w:numPr>
              <w:suppressLineNumbers w:val="0"/>
              <w:tabs>
                <w:tab w:val="left" w:pos="0"/>
              </w:tabs>
              <w:kinsoku/>
              <w:wordWrap/>
              <w:overflowPunct/>
              <w:topLinePunct w:val="0"/>
              <w:autoSpaceDE/>
              <w:autoSpaceDN/>
              <w:bidi w:val="0"/>
              <w:adjustRightInd/>
              <w:snapToGrid/>
              <w:spacing w:before="0" w:beforeAutospacing="0" w:afterAutospacing="0" w:line="360" w:lineRule="auto"/>
              <w:ind w:left="0" w:leftChars="0" w:right="0" w:firstLine="422" w:firstLineChars="175"/>
              <w:jc w:val="both"/>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非正常工况处理措施：</w:t>
            </w:r>
          </w:p>
          <w:p w14:paraId="681AAAC5">
            <w:pPr>
              <w:pStyle w:val="9"/>
              <w:keepNext w:val="0"/>
              <w:keepLines w:val="0"/>
              <w:pageBreakBefore w:val="0"/>
              <w:widowControl w:val="0"/>
              <w:numPr>
                <w:ilvl w:val="0"/>
                <w:numId w:val="0"/>
              </w:numPr>
              <w:suppressLineNumbers w:val="0"/>
              <w:tabs>
                <w:tab w:val="left" w:pos="0"/>
              </w:tabs>
              <w:kinsoku/>
              <w:wordWrap/>
              <w:overflowPunct/>
              <w:topLinePunct w:val="0"/>
              <w:autoSpaceDE/>
              <w:autoSpaceDN/>
              <w:bidi w:val="0"/>
              <w:adjustRightInd/>
              <w:snapToGrid/>
              <w:spacing w:before="0" w:beforeAutospacing="0" w:afterAutospacing="0" w:line="360" w:lineRule="auto"/>
              <w:ind w:left="0" w:leftChars="0" w:right="0" w:firstLine="420" w:firstLineChars="175"/>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为保证废气处理系统的正常运行，拟采取以下措施：</w:t>
            </w:r>
          </w:p>
          <w:p w14:paraId="4BD7565D">
            <w:pPr>
              <w:pStyle w:val="9"/>
              <w:keepNext w:val="0"/>
              <w:keepLines w:val="0"/>
              <w:pageBreakBefore w:val="0"/>
              <w:widowControl w:val="0"/>
              <w:numPr>
                <w:ilvl w:val="0"/>
                <w:numId w:val="0"/>
              </w:numPr>
              <w:suppressLineNumbers w:val="0"/>
              <w:tabs>
                <w:tab w:val="left" w:pos="0"/>
              </w:tabs>
              <w:kinsoku/>
              <w:wordWrap/>
              <w:overflowPunct/>
              <w:topLinePunct w:val="0"/>
              <w:autoSpaceDE/>
              <w:autoSpaceDN/>
              <w:bidi w:val="0"/>
              <w:adjustRightInd/>
              <w:snapToGrid/>
              <w:spacing w:before="0" w:beforeAutospacing="0" w:afterAutospacing="0" w:line="360" w:lineRule="auto"/>
              <w:ind w:left="0" w:leftChars="0" w:right="0" w:firstLine="420" w:firstLineChars="175"/>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①开工前先运行各配套风机及废气处理设施</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 xml:space="preserve">停工后保持废气风机及废气处理设施继续运转，待废气完全排出后再关机，确保在开、停工段排出的污染物得到有效处理； </w:t>
            </w:r>
          </w:p>
          <w:p w14:paraId="06123BDD">
            <w:pPr>
              <w:pStyle w:val="9"/>
              <w:keepNext w:val="0"/>
              <w:keepLines w:val="0"/>
              <w:pageBreakBefore w:val="0"/>
              <w:widowControl w:val="0"/>
              <w:numPr>
                <w:ilvl w:val="0"/>
                <w:numId w:val="0"/>
              </w:numPr>
              <w:suppressLineNumbers w:val="0"/>
              <w:tabs>
                <w:tab w:val="left" w:pos="0"/>
              </w:tabs>
              <w:kinsoku/>
              <w:wordWrap/>
              <w:overflowPunct/>
              <w:topLinePunct w:val="0"/>
              <w:autoSpaceDE/>
              <w:autoSpaceDN/>
              <w:bidi w:val="0"/>
              <w:adjustRightInd/>
              <w:snapToGrid/>
              <w:spacing w:before="0" w:beforeAutospacing="0" w:afterAutospacing="0" w:line="360" w:lineRule="auto"/>
              <w:ind w:left="0" w:leftChars="0" w:right="0" w:firstLine="420" w:firstLineChars="175"/>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②风机配套设置故障报警仪，一旦发生风机故障，应立即停止相应产污工序操作，在废气处理设施运行正常后，相应产污设备才能开工运行；</w:t>
            </w:r>
          </w:p>
          <w:p w14:paraId="62B9E101">
            <w:pPr>
              <w:pStyle w:val="9"/>
              <w:keepNext w:val="0"/>
              <w:keepLines w:val="0"/>
              <w:pageBreakBefore w:val="0"/>
              <w:widowControl w:val="0"/>
              <w:numPr>
                <w:ilvl w:val="0"/>
                <w:numId w:val="0"/>
              </w:numPr>
              <w:suppressLineNumbers w:val="0"/>
              <w:tabs>
                <w:tab w:val="left" w:pos="0"/>
              </w:tabs>
              <w:kinsoku/>
              <w:wordWrap/>
              <w:overflowPunct/>
              <w:topLinePunct w:val="0"/>
              <w:autoSpaceDE/>
              <w:autoSpaceDN/>
              <w:bidi w:val="0"/>
              <w:adjustRightInd/>
              <w:snapToGrid/>
              <w:spacing w:before="0" w:beforeAutospacing="0" w:afterAutospacing="0" w:line="360" w:lineRule="auto"/>
              <w:ind w:right="0" w:firstLine="240" w:firstLineChars="1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 ③安排专人负责废气处理设施的日常维护和管理，每隔固定时间检查、汇报情况，及时发现设备的隐患，确保废气处理设施正常运行。</w:t>
            </w:r>
          </w:p>
          <w:p w14:paraId="4816FDEF">
            <w:pPr>
              <w:pStyle w:val="9"/>
              <w:keepNext w:val="0"/>
              <w:keepLines w:val="0"/>
              <w:pageBreakBefore w:val="0"/>
              <w:widowControl w:val="0"/>
              <w:numPr>
                <w:ilvl w:val="0"/>
                <w:numId w:val="0"/>
              </w:numPr>
              <w:suppressLineNumbers w:val="0"/>
              <w:tabs>
                <w:tab w:val="left" w:pos="0"/>
              </w:tabs>
              <w:kinsoku/>
              <w:wordWrap/>
              <w:overflowPunct/>
              <w:topLinePunct w:val="0"/>
              <w:autoSpaceDE/>
              <w:autoSpaceDN/>
              <w:bidi w:val="0"/>
              <w:adjustRightInd/>
              <w:snapToGrid/>
              <w:spacing w:before="0" w:beforeAutospacing="0" w:afterAutospacing="0" w:line="360" w:lineRule="auto"/>
              <w:ind w:right="0" w:firstLine="480" w:firstLineChars="200"/>
              <w:jc w:val="both"/>
              <w:textAlignment w:val="auto"/>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④</w:t>
            </w:r>
            <w:r>
              <w:rPr>
                <w:rFonts w:hint="eastAsia" w:ascii="Times New Roman" w:hAnsi="Times New Roman" w:eastAsia="宋体" w:cs="Times New Roman"/>
                <w:color w:val="auto"/>
                <w:sz w:val="24"/>
                <w:szCs w:val="24"/>
                <w:highlight w:val="none"/>
                <w:lang w:val="en-US" w:eastAsia="zh-CN"/>
              </w:rPr>
              <w:t>参照《</w:t>
            </w:r>
            <w:r>
              <w:rPr>
                <w:rFonts w:hint="eastAsia" w:ascii="Times New Roman" w:hAnsi="Times New Roman" w:eastAsia="宋体" w:cs="Times New Roman"/>
                <w:b w:val="0"/>
                <w:bCs w:val="0"/>
                <w:color w:val="auto"/>
                <w:sz w:val="24"/>
                <w:szCs w:val="24"/>
                <w:highlight w:val="none"/>
                <w:lang w:val="en-US" w:eastAsia="zh-CN"/>
              </w:rPr>
              <w:t>阳江市涉VOCs企业活性炭智慧监管工作方案</w:t>
            </w:r>
            <w:r>
              <w:rPr>
                <w:rFonts w:hint="eastAsia" w:ascii="Times New Roman" w:hAnsi="Times New Roman" w:eastAsia="宋体" w:cs="Times New Roman"/>
                <w:color w:val="auto"/>
                <w:sz w:val="24"/>
                <w:szCs w:val="24"/>
                <w:highlight w:val="none"/>
                <w:lang w:val="en-US" w:eastAsia="zh-CN"/>
              </w:rPr>
              <w:t>》 活性炭吸附工艺规范化建设及运行管理工作指引的要求进行运行与维护。</w:t>
            </w:r>
          </w:p>
          <w:p w14:paraId="5DF7A0B0">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szCs w:val="32"/>
                <w:highlight w:val="none"/>
              </w:rPr>
            </w:pPr>
            <w:r>
              <w:rPr>
                <w:rFonts w:hint="eastAsia" w:ascii="Times New Roman" w:hAnsi="Times New Roman" w:eastAsia="宋体" w:cs="Times New Roman"/>
                <w:b/>
                <w:bCs/>
                <w:color w:val="auto"/>
                <w:sz w:val="24"/>
                <w:szCs w:val="32"/>
                <w:highlight w:val="none"/>
                <w:lang w:val="en-US" w:eastAsia="zh-CN"/>
              </w:rPr>
              <w:t>二、</w:t>
            </w:r>
            <w:r>
              <w:rPr>
                <w:rFonts w:hint="default" w:ascii="Times New Roman" w:hAnsi="Times New Roman" w:eastAsia="宋体" w:cs="Times New Roman"/>
                <w:b/>
                <w:bCs/>
                <w:color w:val="auto"/>
                <w:sz w:val="24"/>
                <w:szCs w:val="32"/>
                <w:highlight w:val="none"/>
              </w:rPr>
              <w:t>废水污染源</w:t>
            </w:r>
          </w:p>
          <w:p w14:paraId="06686B9B">
            <w:pPr>
              <w:pStyle w:val="19"/>
              <w:keepNext w:val="0"/>
              <w:keepLines w:val="0"/>
              <w:suppressLineNumbers w:val="0"/>
              <w:spacing w:before="0" w:beforeAutospacing="0" w:after="0" w:afterAutospacing="0" w:line="360" w:lineRule="auto"/>
              <w:ind w:left="420" w:leftChars="200" w:right="0"/>
              <w:rPr>
                <w:rFonts w:hint="default" w:ascii="Times New Roman" w:hAnsi="Times New Roman" w:eastAsia="宋体" w:cs="Times New Roman"/>
                <w:b/>
                <w:bCs/>
                <w:color w:val="auto"/>
                <w:sz w:val="24"/>
                <w:szCs w:val="22"/>
                <w:highlight w:val="none"/>
              </w:rPr>
            </w:pPr>
            <w:r>
              <w:rPr>
                <w:rFonts w:hint="default" w:ascii="Times New Roman" w:hAnsi="Times New Roman" w:eastAsia="宋体" w:cs="Times New Roman"/>
                <w:b/>
                <w:bCs/>
                <w:color w:val="auto"/>
                <w:sz w:val="24"/>
                <w:szCs w:val="22"/>
                <w:highlight w:val="none"/>
              </w:rPr>
              <w:t>1、废水源强核算</w:t>
            </w:r>
          </w:p>
          <w:p w14:paraId="2498CD1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highlight w:val="none"/>
              </w:rPr>
            </w:pPr>
            <w:r>
              <w:rPr>
                <w:rFonts w:hint="default" w:ascii="Times New Roman" w:hAnsi="Times New Roman" w:eastAsia="宋体" w:cs="Times New Roman"/>
                <w:color w:val="auto"/>
                <w:sz w:val="24"/>
                <w:szCs w:val="32"/>
                <w:highlight w:val="none"/>
              </w:rPr>
              <w:t>本项目运营期废水污染源主要是员工办公生活污水</w:t>
            </w:r>
            <w:r>
              <w:rPr>
                <w:rFonts w:hint="default" w:ascii="Times New Roman" w:hAnsi="Times New Roman" w:eastAsia="宋体" w:cs="Times New Roman"/>
                <w:color w:val="auto"/>
                <w:sz w:val="24"/>
                <w:szCs w:val="32"/>
                <w:highlight w:val="none"/>
                <w:lang w:val="en-US" w:eastAsia="zh-CN"/>
              </w:rPr>
              <w:t>、</w:t>
            </w:r>
            <w:r>
              <w:rPr>
                <w:rFonts w:hint="eastAsia" w:ascii="Times New Roman" w:hAnsi="Times New Roman" w:eastAsia="宋体" w:cs="Times New Roman"/>
                <w:color w:val="auto"/>
                <w:sz w:val="24"/>
                <w:szCs w:val="32"/>
                <w:highlight w:val="none"/>
                <w:lang w:val="en-US" w:eastAsia="zh-CN"/>
              </w:rPr>
              <w:t>胶印机的清洗废水</w:t>
            </w:r>
            <w:r>
              <w:rPr>
                <w:rFonts w:hint="default" w:ascii="Times New Roman" w:hAnsi="Times New Roman" w:eastAsia="宋体" w:cs="Times New Roman"/>
                <w:color w:val="auto"/>
                <w:sz w:val="24"/>
                <w:szCs w:val="32"/>
                <w:highlight w:val="none"/>
              </w:rPr>
              <w:t>。</w:t>
            </w:r>
          </w:p>
          <w:p w14:paraId="43D0BEE5">
            <w:pPr>
              <w:keepNext w:val="0"/>
              <w:keepLines w:val="0"/>
              <w:suppressLineNumbers w:val="0"/>
              <w:spacing w:before="120" w:beforeLines="50" w:beforeAutospacing="0" w:after="0" w:afterAutospacing="0" w:line="360" w:lineRule="auto"/>
              <w:ind w:left="0" w:right="0" w:firstLine="482" w:firstLineChars="200"/>
              <w:rPr>
                <w:rFonts w:hint="default" w:ascii="Times New Roman" w:hAnsi="Times New Roman" w:eastAsia="宋体" w:cs="Times New Roman"/>
                <w:b/>
                <w:bCs/>
                <w:color w:val="auto"/>
                <w:sz w:val="24"/>
                <w:szCs w:val="32"/>
                <w:highlight w:val="none"/>
                <w:lang w:val="en-US" w:eastAsia="zh-CN"/>
              </w:rPr>
            </w:pPr>
            <w:r>
              <w:rPr>
                <w:rFonts w:hint="default" w:ascii="Times New Roman" w:hAnsi="Times New Roman" w:eastAsia="宋体" w:cs="Times New Roman"/>
                <w:b/>
                <w:bCs/>
                <w:color w:val="auto"/>
                <w:sz w:val="24"/>
                <w:szCs w:val="32"/>
                <w:highlight w:val="none"/>
                <w:lang w:eastAsia="zh-CN"/>
              </w:rPr>
              <w:t>（</w:t>
            </w:r>
            <w:r>
              <w:rPr>
                <w:rFonts w:hint="default" w:ascii="Times New Roman" w:hAnsi="Times New Roman" w:eastAsia="宋体" w:cs="Times New Roman"/>
                <w:b/>
                <w:bCs/>
                <w:color w:val="auto"/>
                <w:sz w:val="24"/>
                <w:szCs w:val="32"/>
                <w:highlight w:val="none"/>
                <w:lang w:val="en-US" w:eastAsia="zh-CN"/>
              </w:rPr>
              <w:t>1</w:t>
            </w:r>
            <w:r>
              <w:rPr>
                <w:rFonts w:hint="default" w:ascii="Times New Roman" w:hAnsi="Times New Roman" w:eastAsia="宋体" w:cs="Times New Roman"/>
                <w:b/>
                <w:bCs/>
                <w:color w:val="auto"/>
                <w:sz w:val="24"/>
                <w:szCs w:val="32"/>
                <w:highlight w:val="none"/>
                <w:lang w:eastAsia="zh-CN"/>
              </w:rPr>
              <w:t>）</w:t>
            </w:r>
            <w:r>
              <w:rPr>
                <w:rFonts w:hint="default" w:ascii="Times New Roman" w:hAnsi="Times New Roman" w:eastAsia="宋体" w:cs="Times New Roman"/>
                <w:b/>
                <w:bCs/>
                <w:color w:val="auto"/>
                <w:sz w:val="24"/>
                <w:szCs w:val="32"/>
                <w:highlight w:val="none"/>
                <w:lang w:val="en-US" w:eastAsia="zh-CN"/>
              </w:rPr>
              <w:t>清洗废水</w:t>
            </w:r>
          </w:p>
          <w:p w14:paraId="12D559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sz w:val="24"/>
                <w:szCs w:val="32"/>
                <w:highlight w:val="none"/>
                <w:lang w:val="en-US" w:eastAsia="zh-CN"/>
              </w:rPr>
            </w:pPr>
            <w:r>
              <w:rPr>
                <w:rFonts w:hint="default" w:ascii="Times New Roman" w:hAnsi="Times New Roman" w:eastAsia="宋体" w:cs="Times New Roman"/>
                <w:b w:val="0"/>
                <w:bCs w:val="0"/>
                <w:color w:val="auto"/>
                <w:sz w:val="24"/>
                <w:szCs w:val="32"/>
                <w:highlight w:val="none"/>
                <w:lang w:val="en-US" w:eastAsia="zh-CN"/>
              </w:rPr>
              <w:t>根据建设单位提供资料，</w:t>
            </w:r>
            <w:r>
              <w:rPr>
                <w:rFonts w:hint="eastAsia" w:ascii="Times New Roman" w:hAnsi="Times New Roman" w:eastAsia="宋体" w:cs="Times New Roman"/>
                <w:b w:val="0"/>
                <w:bCs w:val="0"/>
                <w:color w:val="auto"/>
                <w:sz w:val="24"/>
                <w:szCs w:val="32"/>
                <w:highlight w:val="none"/>
                <w:lang w:val="en-US" w:eastAsia="zh-CN"/>
              </w:rPr>
              <w:t>一般情况下，油墨清洗由胶印机自带的自动橡皮布清洗，每台胶印机需添加</w:t>
            </w:r>
            <w:r>
              <w:rPr>
                <w:rFonts w:hint="eastAsia" w:cs="Times New Roman"/>
                <w:b w:val="0"/>
                <w:bCs w:val="0"/>
                <w:color w:val="auto"/>
                <w:sz w:val="24"/>
                <w:szCs w:val="32"/>
                <w:highlight w:val="none"/>
                <w:lang w:val="en-US" w:eastAsia="zh-CN"/>
              </w:rPr>
              <w:t>2</w:t>
            </w:r>
            <w:r>
              <w:rPr>
                <w:rFonts w:hint="eastAsia" w:ascii="Times New Roman" w:hAnsi="Times New Roman" w:eastAsia="宋体" w:cs="Times New Roman"/>
                <w:b w:val="0"/>
                <w:bCs w:val="0"/>
                <w:color w:val="auto"/>
                <w:sz w:val="24"/>
                <w:szCs w:val="32"/>
                <w:highlight w:val="none"/>
                <w:lang w:val="en-US" w:eastAsia="zh-CN"/>
              </w:rPr>
              <w:t>L自来水，结合油墨清洗剂清除工件油墨，该过程不产生废水，添加频次约为每</w:t>
            </w:r>
            <w:r>
              <w:rPr>
                <w:rFonts w:hint="eastAsia" w:cs="Times New Roman"/>
                <w:b w:val="0"/>
                <w:bCs w:val="0"/>
                <w:color w:val="auto"/>
                <w:sz w:val="24"/>
                <w:szCs w:val="32"/>
                <w:highlight w:val="none"/>
                <w:lang w:val="en-US" w:eastAsia="zh-CN"/>
              </w:rPr>
              <w:t>1</w:t>
            </w:r>
            <w:r>
              <w:rPr>
                <w:rFonts w:hint="eastAsia" w:ascii="Times New Roman" w:hAnsi="Times New Roman" w:eastAsia="宋体" w:cs="Times New Roman"/>
                <w:b w:val="0"/>
                <w:bCs w:val="0"/>
                <w:color w:val="auto"/>
                <w:sz w:val="24"/>
                <w:szCs w:val="32"/>
                <w:highlight w:val="none"/>
                <w:lang w:val="en-US" w:eastAsia="zh-CN"/>
              </w:rPr>
              <w:t>个月1次。因此，</w:t>
            </w:r>
            <w:r>
              <w:rPr>
                <w:rFonts w:hint="eastAsia" w:cs="Times New Roman"/>
                <w:b w:val="0"/>
                <w:bCs w:val="0"/>
                <w:color w:val="auto"/>
                <w:sz w:val="24"/>
                <w:szCs w:val="32"/>
                <w:highlight w:val="none"/>
                <w:lang w:val="en-US" w:eastAsia="zh-CN"/>
              </w:rPr>
              <w:t>2</w:t>
            </w:r>
            <w:r>
              <w:rPr>
                <w:rFonts w:hint="eastAsia" w:ascii="Times New Roman" w:hAnsi="Times New Roman" w:eastAsia="宋体" w:cs="Times New Roman"/>
                <w:b w:val="0"/>
                <w:bCs w:val="0"/>
                <w:color w:val="auto"/>
                <w:sz w:val="24"/>
                <w:szCs w:val="32"/>
                <w:highlight w:val="none"/>
                <w:lang w:val="en-US" w:eastAsia="zh-CN"/>
              </w:rPr>
              <w:t>台胶印机年用水量为0.0</w:t>
            </w:r>
            <w:r>
              <w:rPr>
                <w:rFonts w:hint="eastAsia" w:cs="Times New Roman"/>
                <w:b w:val="0"/>
                <w:bCs w:val="0"/>
                <w:color w:val="auto"/>
                <w:sz w:val="24"/>
                <w:szCs w:val="32"/>
                <w:highlight w:val="none"/>
                <w:lang w:val="en-US" w:eastAsia="zh-CN"/>
              </w:rPr>
              <w:t>48</w:t>
            </w:r>
            <w:r>
              <w:rPr>
                <w:rFonts w:hint="eastAsia" w:ascii="Times New Roman" w:hAnsi="Times New Roman" w:eastAsia="宋体" w:cs="Times New Roman"/>
                <w:b w:val="0"/>
                <w:bCs w:val="0"/>
                <w:color w:val="auto"/>
                <w:sz w:val="24"/>
                <w:szCs w:val="32"/>
                <w:highlight w:val="none"/>
                <w:lang w:val="en-US" w:eastAsia="zh-CN"/>
              </w:rPr>
              <w:t>m</w:t>
            </w:r>
            <w:r>
              <w:rPr>
                <w:rFonts w:hint="default" w:ascii="Times New Roman" w:hAnsi="Times New Roman" w:eastAsia="宋体" w:cs="Times New Roman"/>
                <w:b w:val="0"/>
                <w:bCs w:val="0"/>
                <w:color w:val="auto"/>
                <w:sz w:val="24"/>
                <w:szCs w:val="32"/>
                <w:highlight w:val="none"/>
                <w:lang w:val="en-US" w:eastAsia="zh-CN"/>
              </w:rPr>
              <w:t>³</w:t>
            </w:r>
            <w:r>
              <w:rPr>
                <w:rFonts w:hint="eastAsia" w:ascii="Times New Roman" w:hAnsi="Times New Roman" w:eastAsia="宋体" w:cs="Times New Roman"/>
                <w:b w:val="0"/>
                <w:bCs w:val="0"/>
                <w:color w:val="auto"/>
                <w:sz w:val="24"/>
                <w:szCs w:val="32"/>
                <w:highlight w:val="none"/>
                <w:lang w:val="en-US" w:eastAsia="zh-CN"/>
              </w:rPr>
              <w:t>，该水量随工件蒸发以及橡皮布带走</w:t>
            </w:r>
            <w:r>
              <w:rPr>
                <w:rFonts w:hint="eastAsia" w:cs="Times New Roman"/>
                <w:b w:val="0"/>
                <w:bCs w:val="0"/>
                <w:color w:val="auto"/>
                <w:sz w:val="24"/>
                <w:szCs w:val="32"/>
                <w:highlight w:val="none"/>
                <w:lang w:val="en-US" w:eastAsia="zh-CN"/>
              </w:rPr>
              <w:t>，含清洗废水抹布约0.06t/a，集中收集</w:t>
            </w:r>
            <w:r>
              <w:rPr>
                <w:rFonts w:hint="eastAsia" w:ascii="Times New Roman" w:hAnsi="Times New Roman" w:eastAsia="宋体" w:cs="Times New Roman"/>
                <w:b w:val="0"/>
                <w:bCs w:val="0"/>
                <w:color w:val="auto"/>
                <w:sz w:val="24"/>
                <w:szCs w:val="32"/>
                <w:highlight w:val="none"/>
                <w:lang w:val="en-US" w:eastAsia="zh-CN"/>
              </w:rPr>
              <w:t>至危废桶，定期委托危废资质单位处置。</w:t>
            </w:r>
          </w:p>
          <w:p w14:paraId="5896E382">
            <w:pPr>
              <w:keepNext w:val="0"/>
              <w:keepLines w:val="0"/>
              <w:suppressLineNumbers w:val="0"/>
              <w:spacing w:before="120" w:beforeLines="50" w:beforeAutospacing="0" w:after="0" w:afterAutospacing="0" w:line="360" w:lineRule="auto"/>
              <w:ind w:left="0" w:right="0" w:firstLine="482" w:firstLineChars="200"/>
              <w:rPr>
                <w:rFonts w:hint="default" w:ascii="Times New Roman" w:hAnsi="Times New Roman" w:eastAsia="宋体" w:cs="Times New Roman"/>
                <w:b/>
                <w:bCs/>
                <w:color w:val="auto"/>
                <w:sz w:val="24"/>
                <w:szCs w:val="32"/>
                <w:highlight w:val="none"/>
              </w:rPr>
            </w:pPr>
            <w:r>
              <w:rPr>
                <w:rFonts w:hint="default" w:ascii="Times New Roman" w:hAnsi="Times New Roman" w:eastAsia="宋体" w:cs="Times New Roman"/>
                <w:b/>
                <w:bCs/>
                <w:color w:val="auto"/>
                <w:sz w:val="24"/>
                <w:szCs w:val="32"/>
                <w:highlight w:val="none"/>
              </w:rPr>
              <w:t>（</w:t>
            </w:r>
            <w:r>
              <w:rPr>
                <w:rFonts w:hint="default" w:ascii="Times New Roman" w:hAnsi="Times New Roman" w:eastAsia="宋体" w:cs="Times New Roman"/>
                <w:b/>
                <w:bCs/>
                <w:color w:val="auto"/>
                <w:sz w:val="24"/>
                <w:szCs w:val="32"/>
                <w:highlight w:val="none"/>
                <w:lang w:val="en-US" w:eastAsia="zh-CN"/>
              </w:rPr>
              <w:t>2</w:t>
            </w:r>
            <w:r>
              <w:rPr>
                <w:rFonts w:hint="default" w:ascii="Times New Roman" w:hAnsi="Times New Roman" w:eastAsia="宋体" w:cs="Times New Roman"/>
                <w:b/>
                <w:bCs/>
                <w:color w:val="auto"/>
                <w:sz w:val="24"/>
                <w:szCs w:val="32"/>
                <w:highlight w:val="none"/>
              </w:rPr>
              <w:t>）员工生活污水</w:t>
            </w:r>
          </w:p>
          <w:p w14:paraId="32FDD1E4">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rPr>
              <w:t>本项目</w:t>
            </w:r>
            <w:r>
              <w:rPr>
                <w:rFonts w:hint="default" w:ascii="Times New Roman" w:hAnsi="Times New Roman" w:eastAsia="宋体" w:cs="Times New Roman"/>
                <w:color w:val="auto"/>
                <w:sz w:val="24"/>
                <w:szCs w:val="24"/>
              </w:rPr>
              <w:t>员工总人数</w:t>
            </w:r>
            <w:r>
              <w:rPr>
                <w:rFonts w:hint="eastAsia" w:ascii="Times New Roman" w:hAnsi="Times New Roman" w:eastAsia="宋体" w:cs="Times New Roman"/>
                <w:color w:val="auto"/>
                <w:sz w:val="24"/>
                <w:szCs w:val="24"/>
                <w:lang w:val="en-US" w:eastAsia="zh-CN"/>
              </w:rPr>
              <w:t>20</w:t>
            </w:r>
            <w:r>
              <w:rPr>
                <w:rFonts w:hint="default" w:ascii="Times New Roman" w:hAnsi="Times New Roman" w:eastAsia="宋体" w:cs="Times New Roman"/>
                <w:color w:val="auto"/>
                <w:sz w:val="24"/>
                <w:szCs w:val="24"/>
                <w:lang w:val="en-US" w:eastAsia="zh-CN"/>
              </w:rPr>
              <w:t>人</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全部不</w:t>
            </w:r>
            <w:r>
              <w:rPr>
                <w:rFonts w:hint="default" w:ascii="Times New Roman" w:hAnsi="Times New Roman" w:eastAsia="宋体" w:cs="Times New Roman"/>
                <w:color w:val="auto"/>
                <w:sz w:val="24"/>
                <w:szCs w:val="24"/>
                <w:lang w:eastAsia="zh-CN"/>
              </w:rPr>
              <w:t>在项目内食宿</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参考广东省地方标准《用水定额第3部分：生活》（DB44/T1461.3-2021），办公楼“无食堂和浴室”</w:t>
            </w:r>
            <w:r>
              <w:rPr>
                <w:rFonts w:hint="default" w:ascii="Times New Roman" w:hAnsi="Times New Roman" w:eastAsia="宋体" w:cs="Times New Roman"/>
                <w:color w:val="auto"/>
                <w:sz w:val="24"/>
                <w:szCs w:val="24"/>
                <w:lang w:eastAsia="zh-CN"/>
              </w:rPr>
              <w:t>的用水量为</w:t>
            </w:r>
            <w:r>
              <w:rPr>
                <w:rFonts w:hint="default" w:ascii="Times New Roman" w:hAnsi="Times New Roman" w:eastAsia="宋体" w:cs="Times New Roman"/>
                <w:color w:val="auto"/>
                <w:sz w:val="24"/>
                <w:szCs w:val="24"/>
                <w:lang w:val="en-US" w:eastAsia="zh-CN"/>
              </w:rPr>
              <w:t>28m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eastAsia="zh-CN"/>
              </w:rPr>
              <w:t>/（人</w:t>
            </w:r>
            <w:r>
              <w:rPr>
                <w:rFonts w:hint="default" w:ascii="Times New Roman" w:hAnsi="Times New Roman" w:eastAsia="宋体" w:cs="Times New Roman"/>
                <w:color w:val="auto"/>
                <w:sz w:val="24"/>
                <w:szCs w:val="24"/>
                <w:lang w:val="en-US" w:eastAsia="zh-CN"/>
              </w:rPr>
              <w:t>·a</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则项目员工生活用水总量为</w:t>
            </w:r>
            <w:r>
              <w:rPr>
                <w:rFonts w:hint="eastAsia" w:ascii="Times New Roman" w:hAnsi="Times New Roman" w:eastAsia="宋体" w:cs="Times New Roman"/>
                <w:color w:val="auto"/>
                <w:sz w:val="24"/>
                <w:szCs w:val="24"/>
                <w:lang w:val="en-US" w:eastAsia="zh-CN"/>
              </w:rPr>
              <w:t>560</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/a。本项目生活用水总量为</w:t>
            </w:r>
            <w:r>
              <w:rPr>
                <w:rFonts w:hint="eastAsia" w:ascii="Times New Roman" w:hAnsi="Times New Roman" w:eastAsia="宋体" w:cs="Times New Roman"/>
                <w:color w:val="auto"/>
                <w:sz w:val="24"/>
                <w:szCs w:val="24"/>
                <w:lang w:val="en-US" w:eastAsia="zh-CN"/>
              </w:rPr>
              <w:t>560</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/a，本项目生活污水按用水量的</w:t>
            </w:r>
            <w:r>
              <w:rPr>
                <w:rFonts w:hint="eastAsia" w:ascii="Times New Roman" w:hAnsi="Times New Roman" w:eastAsia="宋体" w:cs="Times New Roman"/>
                <w:color w:val="auto"/>
                <w:sz w:val="24"/>
                <w:szCs w:val="24"/>
                <w:lang w:val="en-US" w:eastAsia="zh-CN"/>
              </w:rPr>
              <w:t>9</w:t>
            </w:r>
            <w:r>
              <w:rPr>
                <w:rFonts w:hint="default" w:ascii="Times New Roman" w:hAnsi="Times New Roman" w:eastAsia="宋体" w:cs="Times New Roman"/>
                <w:color w:val="auto"/>
                <w:sz w:val="24"/>
                <w:szCs w:val="24"/>
                <w:lang w:val="en-US" w:eastAsia="zh-CN"/>
              </w:rPr>
              <w:t>0%计，则生活污水的产生量为</w:t>
            </w:r>
            <w:r>
              <w:rPr>
                <w:rFonts w:hint="eastAsia" w:ascii="Times New Roman" w:hAnsi="Times New Roman" w:eastAsia="宋体" w:cs="Times New Roman"/>
                <w:color w:val="auto"/>
                <w:sz w:val="24"/>
                <w:szCs w:val="24"/>
                <w:lang w:val="en-US" w:eastAsia="zh-CN"/>
              </w:rPr>
              <w:t>504</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/a。</w:t>
            </w:r>
            <w:r>
              <w:rPr>
                <w:rFonts w:hint="eastAsia" w:ascii="Times New Roman" w:hAnsi="Times New Roman" w:eastAsia="宋体" w:cs="Times New Roman"/>
                <w:color w:val="auto"/>
                <w:sz w:val="24"/>
                <w:szCs w:val="24"/>
                <w:lang w:val="en-US" w:eastAsia="zh-CN"/>
              </w:rPr>
              <w:t>生活</w:t>
            </w:r>
            <w:r>
              <w:rPr>
                <w:rFonts w:hint="default" w:ascii="Times New Roman" w:hAnsi="Times New Roman" w:eastAsia="宋体" w:cs="Times New Roman"/>
                <w:color w:val="auto"/>
                <w:kern w:val="2"/>
                <w:sz w:val="24"/>
                <w:szCs w:val="24"/>
                <w:highlight w:val="none"/>
                <w:lang w:val="en-US" w:eastAsia="zh-CN" w:bidi="ar"/>
              </w:rPr>
              <w:t>污水中主要含CODcr、BOD</w:t>
            </w:r>
            <w:r>
              <w:rPr>
                <w:rFonts w:hint="default" w:ascii="Times New Roman" w:hAnsi="Times New Roman" w:eastAsia="宋体" w:cs="Times New Roman"/>
                <w:color w:val="auto"/>
                <w:kern w:val="2"/>
                <w:sz w:val="24"/>
                <w:szCs w:val="24"/>
                <w:highlight w:val="none"/>
                <w:vertAlign w:val="subscript"/>
                <w:lang w:val="en-US" w:eastAsia="zh-CN" w:bidi="ar"/>
              </w:rPr>
              <w:t>5</w:t>
            </w:r>
            <w:r>
              <w:rPr>
                <w:rFonts w:hint="default" w:ascii="Times New Roman" w:hAnsi="Times New Roman" w:eastAsia="宋体" w:cs="Times New Roman"/>
                <w:color w:val="auto"/>
                <w:kern w:val="2"/>
                <w:sz w:val="24"/>
                <w:szCs w:val="24"/>
                <w:highlight w:val="none"/>
                <w:lang w:val="en-US" w:eastAsia="zh-CN" w:bidi="ar"/>
              </w:rPr>
              <w:t>、SS、NH</w:t>
            </w:r>
            <w:r>
              <w:rPr>
                <w:rFonts w:hint="default" w:ascii="Times New Roman" w:hAnsi="Times New Roman" w:eastAsia="宋体" w:cs="Times New Roman"/>
                <w:color w:val="auto"/>
                <w:kern w:val="2"/>
                <w:sz w:val="24"/>
                <w:szCs w:val="24"/>
                <w:highlight w:val="none"/>
                <w:vertAlign w:val="subscript"/>
                <w:lang w:val="en-US" w:eastAsia="zh-CN" w:bidi="ar"/>
              </w:rPr>
              <w:t>3</w:t>
            </w:r>
            <w:r>
              <w:rPr>
                <w:rFonts w:hint="default" w:ascii="Times New Roman" w:hAnsi="Times New Roman" w:eastAsia="宋体" w:cs="Times New Roman"/>
                <w:color w:val="auto"/>
                <w:kern w:val="2"/>
                <w:sz w:val="24"/>
                <w:szCs w:val="24"/>
                <w:highlight w:val="none"/>
                <w:lang w:val="en-US" w:eastAsia="zh-CN" w:bidi="ar"/>
              </w:rPr>
              <w:t>-N、TP、TN、动植物油等。源强参数参考《第二次全国污染源普查产排污核算系数手册》中生活源系数手册表6-5五区城镇生活源水污染物产污校核系数中的“一般城市市区”平均值。污染物SS的产污源强参照《社会区域类环境影响评价》（环评工程师培训教材）。污染物处理效率参照《给水排水设计手册》中去除率“化粪池对一般生活污水污染物的去除率为CODcr 15%、BOD</w:t>
            </w:r>
            <w:r>
              <w:rPr>
                <w:rFonts w:hint="default" w:ascii="Times New Roman" w:hAnsi="Times New Roman" w:eastAsia="宋体" w:cs="Times New Roman"/>
                <w:color w:val="auto"/>
                <w:kern w:val="2"/>
                <w:sz w:val="24"/>
                <w:szCs w:val="24"/>
                <w:highlight w:val="none"/>
                <w:vertAlign w:val="subscript"/>
                <w:lang w:val="en-US" w:eastAsia="zh-CN" w:bidi="ar"/>
              </w:rPr>
              <w:t>5</w:t>
            </w:r>
            <w:r>
              <w:rPr>
                <w:rFonts w:hint="default" w:ascii="Times New Roman" w:hAnsi="Times New Roman" w:eastAsia="宋体" w:cs="Times New Roman"/>
                <w:color w:val="auto"/>
                <w:kern w:val="2"/>
                <w:sz w:val="24"/>
                <w:szCs w:val="24"/>
                <w:highlight w:val="none"/>
                <w:lang w:val="en-US" w:eastAsia="zh-CN" w:bidi="ar"/>
              </w:rPr>
              <w:t xml:space="preserve"> 9%、SS 30%、NH</w:t>
            </w:r>
            <w:r>
              <w:rPr>
                <w:rFonts w:hint="default" w:ascii="Times New Roman" w:hAnsi="Times New Roman" w:eastAsia="宋体" w:cs="Times New Roman"/>
                <w:color w:val="auto"/>
                <w:kern w:val="2"/>
                <w:sz w:val="24"/>
                <w:szCs w:val="24"/>
                <w:highlight w:val="none"/>
                <w:vertAlign w:val="subscript"/>
                <w:lang w:val="en-US" w:eastAsia="zh-CN" w:bidi="ar"/>
              </w:rPr>
              <w:t>3</w:t>
            </w:r>
            <w:r>
              <w:rPr>
                <w:rFonts w:hint="default" w:ascii="Times New Roman" w:hAnsi="Times New Roman" w:eastAsia="宋体" w:cs="Times New Roman"/>
                <w:color w:val="auto"/>
                <w:kern w:val="2"/>
                <w:sz w:val="24"/>
                <w:szCs w:val="24"/>
                <w:highlight w:val="none"/>
                <w:vertAlign w:val="baseline"/>
                <w:lang w:val="en-US" w:eastAsia="zh-CN" w:bidi="ar"/>
              </w:rPr>
              <w:t>-N 3%、TP 3%、TN3%、动植物油30%</w:t>
            </w:r>
            <w:r>
              <w:rPr>
                <w:rFonts w:hint="default" w:ascii="Times New Roman" w:hAnsi="Times New Roman" w:eastAsia="宋体" w:cs="Times New Roman"/>
                <w:color w:val="auto"/>
                <w:kern w:val="2"/>
                <w:sz w:val="24"/>
                <w:szCs w:val="24"/>
                <w:highlight w:val="none"/>
                <w:lang w:val="en-US" w:eastAsia="zh-CN" w:bidi="ar"/>
              </w:rPr>
              <w:t>”</w:t>
            </w:r>
          </w:p>
          <w:p w14:paraId="48DDCB16">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32"/>
                <w:highlight w:val="none"/>
              </w:rPr>
            </w:pPr>
            <w:r>
              <w:rPr>
                <w:rFonts w:hint="default" w:ascii="Times New Roman" w:hAnsi="Times New Roman" w:eastAsia="宋体" w:cs="Times New Roman"/>
                <w:color w:val="auto"/>
                <w:sz w:val="24"/>
                <w:szCs w:val="32"/>
                <w:highlight w:val="none"/>
                <w:lang w:val="en-US" w:eastAsia="zh-CN"/>
              </w:rPr>
              <w:t>生活污水经三级化粪池处理后，污水量及主要污染物产生情况见下表</w:t>
            </w:r>
            <w:r>
              <w:rPr>
                <w:rFonts w:hint="default" w:ascii="Times New Roman" w:hAnsi="Times New Roman" w:eastAsia="宋体" w:cs="Times New Roman"/>
                <w:color w:val="auto"/>
                <w:sz w:val="24"/>
                <w:szCs w:val="32"/>
                <w:highlight w:val="none"/>
              </w:rPr>
              <w:t>。</w:t>
            </w:r>
          </w:p>
          <w:p w14:paraId="2A3D1007">
            <w:pPr>
              <w:keepNext w:val="0"/>
              <w:keepLines w:val="0"/>
              <w:suppressLineNumbers w:val="0"/>
              <w:spacing w:before="0" w:beforeAutospacing="0" w:after="0" w:afterAutospacing="0" w:line="240" w:lineRule="auto"/>
              <w:ind w:left="0" w:right="0" w:firstLine="422" w:firstLineChars="20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表</w:t>
            </w:r>
            <w:r>
              <w:rPr>
                <w:rFonts w:hint="eastAsia" w:ascii="Times New Roman" w:hAnsi="Times New Roman" w:eastAsia="宋体" w:cs="Times New Roman"/>
                <w:b/>
                <w:bCs/>
                <w:color w:val="auto"/>
                <w:szCs w:val="21"/>
                <w:highlight w:val="none"/>
                <w:lang w:val="en-US" w:eastAsia="zh-CN"/>
              </w:rPr>
              <w:t>4</w:t>
            </w:r>
            <w:r>
              <w:rPr>
                <w:rFonts w:hint="eastAsia" w:cs="Times New Roman"/>
                <w:b/>
                <w:bCs/>
                <w:color w:val="auto"/>
                <w:szCs w:val="21"/>
                <w:highlight w:val="none"/>
                <w:lang w:val="en-US" w:eastAsia="zh-CN"/>
              </w:rPr>
              <w:t>-1</w:t>
            </w:r>
            <w:r>
              <w:rPr>
                <w:rFonts w:hint="eastAsia" w:ascii="Times New Roman" w:hAnsi="Times New Roman" w:eastAsia="宋体" w:cs="Times New Roman"/>
                <w:b/>
                <w:bCs/>
                <w:color w:val="auto"/>
                <w:szCs w:val="21"/>
                <w:highlight w:val="none"/>
                <w:lang w:val="en-US" w:eastAsia="zh-CN"/>
              </w:rPr>
              <w:t>1</w:t>
            </w:r>
            <w:r>
              <w:rPr>
                <w:rFonts w:hint="default" w:ascii="Times New Roman" w:hAnsi="Times New Roman" w:eastAsia="宋体" w:cs="Times New Roman"/>
                <w:b/>
                <w:bCs/>
                <w:color w:val="auto"/>
                <w:szCs w:val="21"/>
                <w:highlight w:val="none"/>
                <w:lang w:val="en-US" w:eastAsia="zh-CN"/>
              </w:rPr>
              <w:t xml:space="preserve"> </w:t>
            </w:r>
            <w:r>
              <w:rPr>
                <w:rFonts w:hint="default" w:ascii="Times New Roman" w:hAnsi="Times New Roman" w:eastAsia="宋体" w:cs="Times New Roman"/>
                <w:b/>
                <w:bCs/>
                <w:color w:val="auto"/>
                <w:szCs w:val="21"/>
                <w:highlight w:val="none"/>
              </w:rPr>
              <w:t>项目生活污水产排情况一览表</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3"/>
              <w:gridCol w:w="917"/>
              <w:gridCol w:w="1000"/>
              <w:gridCol w:w="883"/>
              <w:gridCol w:w="717"/>
              <w:gridCol w:w="866"/>
              <w:gridCol w:w="1050"/>
              <w:gridCol w:w="1099"/>
            </w:tblGrid>
            <w:tr w14:paraId="249FD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2190" w:type="dxa"/>
                  <w:gridSpan w:val="2"/>
                  <w:tcBorders>
                    <w:top w:val="single" w:color="auto" w:sz="4" w:space="0"/>
                    <w:left w:val="single" w:color="auto" w:sz="4" w:space="0"/>
                    <w:bottom w:val="single" w:color="auto" w:sz="4" w:space="0"/>
                    <w:right w:val="single" w:color="auto" w:sz="4" w:space="0"/>
                  </w:tcBorders>
                  <w:noWrap w:val="0"/>
                  <w:vAlign w:val="center"/>
                </w:tcPr>
                <w:p w14:paraId="26827F07">
                  <w:pPr>
                    <w:pStyle w:val="28"/>
                    <w:keepNext w:val="0"/>
                    <w:keepLines w:val="0"/>
                    <w:pageBreakBefore w:val="0"/>
                    <w:widowControl/>
                    <w:suppressLineNumbers w:val="0"/>
                    <w:kinsoku/>
                    <w:wordWrap/>
                    <w:overflowPunct/>
                    <w:topLinePunct w:val="0"/>
                    <w:autoSpaceDE/>
                    <w:autoSpaceDN/>
                    <w:bidi w:val="0"/>
                    <w:adjustRightInd/>
                    <w:snapToGrid/>
                    <w:ind w:left="0" w:right="0" w:firstLine="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主要污染物</w:t>
                  </w:r>
                </w:p>
              </w:tc>
              <w:tc>
                <w:tcPr>
                  <w:tcW w:w="1000" w:type="dxa"/>
                  <w:tcBorders>
                    <w:top w:val="single" w:color="auto" w:sz="4" w:space="0"/>
                    <w:left w:val="nil"/>
                    <w:bottom w:val="single" w:color="auto" w:sz="4" w:space="0"/>
                    <w:right w:val="single" w:color="auto" w:sz="4" w:space="0"/>
                  </w:tcBorders>
                  <w:noWrap w:val="0"/>
                  <w:vAlign w:val="center"/>
                </w:tcPr>
                <w:p w14:paraId="34CB96E8">
                  <w:pPr>
                    <w:pStyle w:val="28"/>
                    <w:keepNext w:val="0"/>
                    <w:keepLines w:val="0"/>
                    <w:pageBreakBefore w:val="0"/>
                    <w:widowControl/>
                    <w:suppressLineNumbers w:val="0"/>
                    <w:kinsoku/>
                    <w:wordWrap/>
                    <w:overflowPunct/>
                    <w:topLinePunct w:val="0"/>
                    <w:autoSpaceDE/>
                    <w:autoSpaceDN/>
                    <w:bidi w:val="0"/>
                    <w:adjustRightInd/>
                    <w:snapToGrid/>
                    <w:ind w:left="0" w:right="0" w:firstLine="0"/>
                    <w:jc w:val="both"/>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产生浓度mg/L</w:t>
                  </w:r>
                </w:p>
              </w:tc>
              <w:tc>
                <w:tcPr>
                  <w:tcW w:w="883" w:type="dxa"/>
                  <w:tcBorders>
                    <w:top w:val="single" w:color="auto" w:sz="4" w:space="0"/>
                    <w:left w:val="nil"/>
                    <w:bottom w:val="single" w:color="auto" w:sz="4" w:space="0"/>
                    <w:right w:val="single" w:color="auto" w:sz="4" w:space="0"/>
                  </w:tcBorders>
                  <w:noWrap w:val="0"/>
                  <w:vAlign w:val="center"/>
                </w:tcPr>
                <w:p w14:paraId="1C1A6CB3">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kern w:val="2"/>
                      <w:sz w:val="21"/>
                      <w:szCs w:val="21"/>
                      <w:highlight w:val="none"/>
                    </w:rPr>
                    <w:t>产</w:t>
                  </w:r>
                  <w:r>
                    <w:rPr>
                      <w:rFonts w:hint="default" w:ascii="Times New Roman" w:hAnsi="Times New Roman" w:eastAsia="宋体" w:cs="Times New Roman"/>
                      <w:b/>
                      <w:bCs w:val="0"/>
                      <w:color w:val="auto"/>
                      <w:sz w:val="21"/>
                      <w:szCs w:val="21"/>
                      <w:highlight w:val="none"/>
                    </w:rPr>
                    <w:t>生量</w:t>
                  </w:r>
                </w:p>
                <w:p w14:paraId="5854F21D">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val="0"/>
                      <w:color w:val="auto"/>
                      <w:kern w:val="2"/>
                      <w:sz w:val="21"/>
                      <w:szCs w:val="21"/>
                      <w:highlight w:val="none"/>
                    </w:rPr>
                  </w:pPr>
                  <w:r>
                    <w:rPr>
                      <w:rFonts w:hint="default" w:ascii="Times New Roman" w:hAnsi="Times New Roman" w:eastAsia="宋体" w:cs="Times New Roman"/>
                      <w:b/>
                      <w:bCs w:val="0"/>
                      <w:color w:val="auto"/>
                      <w:sz w:val="21"/>
                      <w:szCs w:val="21"/>
                      <w:highlight w:val="none"/>
                    </w:rPr>
                    <w:t>t/</w:t>
                  </w:r>
                  <w:r>
                    <w:rPr>
                      <w:rFonts w:hint="default" w:ascii="Times New Roman" w:hAnsi="Times New Roman" w:eastAsia="宋体" w:cs="Times New Roman"/>
                      <w:b/>
                      <w:bCs w:val="0"/>
                      <w:color w:val="auto"/>
                      <w:kern w:val="0"/>
                      <w:sz w:val="21"/>
                      <w:szCs w:val="21"/>
                      <w:highlight w:val="none"/>
                    </w:rPr>
                    <w:t>a</w:t>
                  </w:r>
                </w:p>
              </w:tc>
              <w:tc>
                <w:tcPr>
                  <w:tcW w:w="717" w:type="dxa"/>
                  <w:tcBorders>
                    <w:top w:val="single" w:color="auto" w:sz="4" w:space="0"/>
                    <w:left w:val="nil"/>
                    <w:bottom w:val="single" w:color="auto" w:sz="4" w:space="0"/>
                    <w:right w:val="single" w:color="auto" w:sz="4" w:space="0"/>
                  </w:tcBorders>
                  <w:noWrap w:val="0"/>
                  <w:vAlign w:val="center"/>
                </w:tcPr>
                <w:p w14:paraId="468D97EF">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b/>
                      <w:bCs w:val="0"/>
                      <w:color w:val="auto"/>
                      <w:sz w:val="21"/>
                      <w:szCs w:val="21"/>
                      <w:highlight w:val="none"/>
                      <w:lang w:val="en-US" w:eastAsia="zh-CN"/>
                    </w:rPr>
                  </w:pPr>
                  <w:r>
                    <w:rPr>
                      <w:rFonts w:hint="eastAsia" w:ascii="Times New Roman" w:hAnsi="Times New Roman" w:eastAsia="宋体" w:cs="Times New Roman"/>
                      <w:b/>
                      <w:bCs w:val="0"/>
                      <w:color w:val="auto"/>
                      <w:sz w:val="21"/>
                      <w:szCs w:val="21"/>
                      <w:highlight w:val="none"/>
                      <w:lang w:val="en-US" w:eastAsia="zh-CN"/>
                    </w:rPr>
                    <w:t>治理</w:t>
                  </w:r>
                </w:p>
                <w:p w14:paraId="316E2D98">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b/>
                      <w:bCs w:val="0"/>
                      <w:color w:val="auto"/>
                      <w:sz w:val="21"/>
                      <w:szCs w:val="21"/>
                      <w:highlight w:val="none"/>
                      <w:lang w:val="en-US" w:eastAsia="zh-CN"/>
                    </w:rPr>
                  </w:pPr>
                  <w:r>
                    <w:rPr>
                      <w:rFonts w:hint="eastAsia" w:ascii="Times New Roman" w:hAnsi="Times New Roman" w:eastAsia="宋体" w:cs="Times New Roman"/>
                      <w:b/>
                      <w:bCs w:val="0"/>
                      <w:color w:val="auto"/>
                      <w:sz w:val="21"/>
                      <w:szCs w:val="21"/>
                      <w:highlight w:val="none"/>
                      <w:lang w:val="en-US" w:eastAsia="zh-CN"/>
                    </w:rPr>
                    <w:t>设施</w:t>
                  </w:r>
                </w:p>
              </w:tc>
              <w:tc>
                <w:tcPr>
                  <w:tcW w:w="866" w:type="dxa"/>
                  <w:tcBorders>
                    <w:top w:val="single" w:color="auto" w:sz="4" w:space="0"/>
                    <w:left w:val="nil"/>
                    <w:bottom w:val="single" w:color="auto" w:sz="4" w:space="0"/>
                    <w:right w:val="single" w:color="auto" w:sz="4" w:space="0"/>
                  </w:tcBorders>
                  <w:noWrap w:val="0"/>
                  <w:vAlign w:val="center"/>
                </w:tcPr>
                <w:p w14:paraId="5C2BA55A">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b/>
                      <w:bCs w:val="0"/>
                      <w:color w:val="auto"/>
                      <w:sz w:val="21"/>
                      <w:szCs w:val="21"/>
                      <w:highlight w:val="none"/>
                      <w:lang w:val="en-US" w:eastAsia="zh-CN"/>
                    </w:rPr>
                  </w:pPr>
                  <w:r>
                    <w:rPr>
                      <w:rFonts w:hint="eastAsia" w:ascii="Times New Roman" w:hAnsi="Times New Roman" w:eastAsia="宋体" w:cs="Times New Roman"/>
                      <w:b/>
                      <w:bCs w:val="0"/>
                      <w:color w:val="auto"/>
                      <w:sz w:val="21"/>
                      <w:szCs w:val="21"/>
                      <w:highlight w:val="none"/>
                      <w:lang w:val="en-US" w:eastAsia="zh-CN"/>
                    </w:rPr>
                    <w:t>去除</w:t>
                  </w:r>
                </w:p>
                <w:p w14:paraId="473F2998">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val="0"/>
                      <w:color w:val="auto"/>
                      <w:sz w:val="21"/>
                      <w:szCs w:val="21"/>
                      <w:highlight w:val="none"/>
                      <w:lang w:val="en-US" w:eastAsia="zh-CN"/>
                    </w:rPr>
                  </w:pPr>
                  <w:r>
                    <w:rPr>
                      <w:rFonts w:hint="eastAsia" w:ascii="Times New Roman" w:hAnsi="Times New Roman" w:eastAsia="宋体" w:cs="Times New Roman"/>
                      <w:b/>
                      <w:bCs w:val="0"/>
                      <w:color w:val="auto"/>
                      <w:sz w:val="21"/>
                      <w:szCs w:val="21"/>
                      <w:highlight w:val="none"/>
                      <w:lang w:val="en-US" w:eastAsia="zh-CN"/>
                    </w:rPr>
                    <w:t>效率</w:t>
                  </w:r>
                </w:p>
              </w:tc>
              <w:tc>
                <w:tcPr>
                  <w:tcW w:w="1050" w:type="dxa"/>
                  <w:tcBorders>
                    <w:top w:val="single" w:color="auto" w:sz="4" w:space="0"/>
                    <w:left w:val="nil"/>
                    <w:bottom w:val="single" w:color="auto" w:sz="4" w:space="0"/>
                    <w:right w:val="single" w:color="auto" w:sz="4" w:space="0"/>
                  </w:tcBorders>
                  <w:noWrap w:val="0"/>
                  <w:vAlign w:val="center"/>
                </w:tcPr>
                <w:p w14:paraId="640E74CB">
                  <w:pPr>
                    <w:pStyle w:val="28"/>
                    <w:keepNext w:val="0"/>
                    <w:keepLines w:val="0"/>
                    <w:pageBreakBefore w:val="0"/>
                    <w:widowControl/>
                    <w:suppressLineNumbers w:val="0"/>
                    <w:kinsoku/>
                    <w:wordWrap/>
                    <w:overflowPunct/>
                    <w:topLinePunct w:val="0"/>
                    <w:autoSpaceDE/>
                    <w:autoSpaceDN/>
                    <w:bidi w:val="0"/>
                    <w:adjustRightInd/>
                    <w:snapToGrid/>
                    <w:ind w:left="0" w:right="0" w:firstLine="0"/>
                    <w:jc w:val="both"/>
                    <w:textAlignment w:val="auto"/>
                    <w:rPr>
                      <w:rFonts w:hint="default" w:ascii="Times New Roman" w:hAnsi="Times New Roman" w:eastAsia="宋体" w:cs="Times New Roman"/>
                      <w:b/>
                      <w:bCs w:val="0"/>
                      <w:color w:val="auto"/>
                      <w:kern w:val="2"/>
                      <w:sz w:val="21"/>
                      <w:szCs w:val="21"/>
                      <w:highlight w:val="none"/>
                    </w:rPr>
                  </w:pPr>
                  <w:r>
                    <w:rPr>
                      <w:rFonts w:hint="default" w:ascii="Times New Roman" w:hAnsi="Times New Roman" w:eastAsia="宋体" w:cs="Times New Roman"/>
                      <w:b/>
                      <w:bCs w:val="0"/>
                      <w:color w:val="auto"/>
                      <w:kern w:val="2"/>
                      <w:sz w:val="21"/>
                      <w:szCs w:val="21"/>
                      <w:highlight w:val="none"/>
                    </w:rPr>
                    <w:t>排放浓度mg/L</w:t>
                  </w:r>
                </w:p>
              </w:tc>
              <w:tc>
                <w:tcPr>
                  <w:tcW w:w="1099" w:type="dxa"/>
                  <w:tcBorders>
                    <w:top w:val="single" w:color="auto" w:sz="4" w:space="0"/>
                    <w:left w:val="nil"/>
                    <w:bottom w:val="single" w:color="auto" w:sz="4" w:space="0"/>
                    <w:right w:val="single" w:color="auto" w:sz="4" w:space="0"/>
                  </w:tcBorders>
                  <w:noWrap w:val="0"/>
                  <w:vAlign w:val="center"/>
                </w:tcPr>
                <w:p w14:paraId="46A32E23">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kern w:val="2"/>
                      <w:sz w:val="21"/>
                      <w:szCs w:val="21"/>
                      <w:highlight w:val="none"/>
                    </w:rPr>
                    <w:t>排</w:t>
                  </w:r>
                  <w:r>
                    <w:rPr>
                      <w:rFonts w:hint="default" w:ascii="Times New Roman" w:hAnsi="Times New Roman" w:eastAsia="宋体" w:cs="Times New Roman"/>
                      <w:b/>
                      <w:bCs w:val="0"/>
                      <w:color w:val="auto"/>
                      <w:sz w:val="21"/>
                      <w:szCs w:val="21"/>
                      <w:highlight w:val="none"/>
                    </w:rPr>
                    <w:t>放量</w:t>
                  </w:r>
                </w:p>
                <w:p w14:paraId="7EB35373">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val="0"/>
                      <w:color w:val="auto"/>
                      <w:kern w:val="2"/>
                      <w:sz w:val="21"/>
                      <w:szCs w:val="21"/>
                      <w:highlight w:val="none"/>
                    </w:rPr>
                  </w:pPr>
                  <w:r>
                    <w:rPr>
                      <w:rFonts w:hint="default" w:ascii="Times New Roman" w:hAnsi="Times New Roman" w:eastAsia="宋体" w:cs="Times New Roman"/>
                      <w:b/>
                      <w:bCs w:val="0"/>
                      <w:color w:val="auto"/>
                      <w:sz w:val="21"/>
                      <w:szCs w:val="21"/>
                      <w:highlight w:val="none"/>
                    </w:rPr>
                    <w:t>t/a</w:t>
                  </w:r>
                </w:p>
              </w:tc>
            </w:tr>
            <w:tr w14:paraId="0772D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1273" w:type="dxa"/>
                  <w:vMerge w:val="restart"/>
                  <w:tcBorders>
                    <w:top w:val="nil"/>
                    <w:left w:val="single" w:color="auto" w:sz="4" w:space="0"/>
                    <w:right w:val="single" w:color="auto" w:sz="4" w:space="0"/>
                  </w:tcBorders>
                  <w:noWrap w:val="0"/>
                  <w:vAlign w:val="center"/>
                </w:tcPr>
                <w:p w14:paraId="6097840F">
                  <w:pPr>
                    <w:pStyle w:val="28"/>
                    <w:keepNext w:val="0"/>
                    <w:keepLines w:val="0"/>
                    <w:widowControl/>
                    <w:suppressLineNumbers w:val="0"/>
                    <w:ind w:left="0" w:right="0" w:firstLine="0"/>
                    <w:jc w:val="center"/>
                    <w:rPr>
                      <w:rFonts w:hint="default" w:ascii="Times New Roman" w:hAnsi="Times New Roman" w:eastAsia="宋体" w:cs="Times New Roman"/>
                      <w:b w:val="0"/>
                      <w:color w:val="auto"/>
                      <w:kern w:val="2"/>
                      <w:sz w:val="21"/>
                      <w:szCs w:val="21"/>
                      <w:highlight w:val="none"/>
                    </w:rPr>
                  </w:pPr>
                  <w:r>
                    <w:rPr>
                      <w:rFonts w:hint="default" w:ascii="Times New Roman" w:hAnsi="Times New Roman" w:eastAsia="宋体" w:cs="Times New Roman"/>
                      <w:b w:val="0"/>
                      <w:color w:val="auto"/>
                      <w:kern w:val="2"/>
                      <w:sz w:val="21"/>
                      <w:szCs w:val="21"/>
                      <w:highlight w:val="none"/>
                    </w:rPr>
                    <w:t>生活污水（</w:t>
                  </w:r>
                  <w:r>
                    <w:rPr>
                      <w:rFonts w:hint="default" w:ascii="Times New Roman" w:hAnsi="Times New Roman" w:eastAsia="宋体" w:cs="Times New Roman"/>
                      <w:b w:val="0"/>
                      <w:color w:val="auto"/>
                      <w:kern w:val="2"/>
                      <w:sz w:val="21"/>
                      <w:szCs w:val="21"/>
                      <w:highlight w:val="none"/>
                      <w:lang w:val="en-US" w:eastAsia="zh-CN"/>
                    </w:rPr>
                    <w:t>504</w:t>
                  </w:r>
                  <w:r>
                    <w:rPr>
                      <w:rFonts w:hint="default" w:ascii="Times New Roman" w:hAnsi="Times New Roman" w:eastAsia="宋体" w:cs="Times New Roman"/>
                      <w:b w:val="0"/>
                      <w:color w:val="auto"/>
                      <w:kern w:val="2"/>
                      <w:sz w:val="21"/>
                      <w:szCs w:val="21"/>
                      <w:highlight w:val="none"/>
                    </w:rPr>
                    <w:t>m</w:t>
                  </w:r>
                  <w:r>
                    <w:rPr>
                      <w:rFonts w:hint="default" w:ascii="Times New Roman" w:hAnsi="Times New Roman" w:eastAsia="宋体" w:cs="Times New Roman"/>
                      <w:b w:val="0"/>
                      <w:color w:val="auto"/>
                      <w:kern w:val="2"/>
                      <w:sz w:val="21"/>
                      <w:szCs w:val="21"/>
                      <w:highlight w:val="none"/>
                      <w:vertAlign w:val="superscript"/>
                    </w:rPr>
                    <w:t>3</w:t>
                  </w:r>
                  <w:r>
                    <w:rPr>
                      <w:rFonts w:hint="default" w:ascii="Times New Roman" w:hAnsi="Times New Roman" w:eastAsia="宋体" w:cs="Times New Roman"/>
                      <w:b w:val="0"/>
                      <w:color w:val="auto"/>
                      <w:kern w:val="2"/>
                      <w:sz w:val="21"/>
                      <w:szCs w:val="21"/>
                      <w:highlight w:val="none"/>
                    </w:rPr>
                    <w:t>/a）</w:t>
                  </w:r>
                </w:p>
              </w:tc>
              <w:tc>
                <w:tcPr>
                  <w:tcW w:w="917" w:type="dxa"/>
                  <w:tcBorders>
                    <w:top w:val="single" w:color="auto" w:sz="4" w:space="0"/>
                    <w:left w:val="nil"/>
                    <w:bottom w:val="single" w:color="auto" w:sz="4" w:space="0"/>
                    <w:right w:val="single" w:color="auto" w:sz="4" w:space="0"/>
                  </w:tcBorders>
                  <w:noWrap w:val="0"/>
                  <w:vAlign w:val="center"/>
                </w:tcPr>
                <w:p w14:paraId="6D92C347">
                  <w:pPr>
                    <w:pStyle w:val="28"/>
                    <w:keepNext w:val="0"/>
                    <w:keepLines w:val="0"/>
                    <w:widowControl/>
                    <w:suppressLineNumbers w:val="0"/>
                    <w:ind w:left="0" w:right="0" w:firstLine="0"/>
                    <w:jc w:val="center"/>
                    <w:rPr>
                      <w:rFonts w:hint="default" w:ascii="Times New Roman" w:hAnsi="Times New Roman" w:eastAsia="宋体" w:cs="Times New Roman"/>
                      <w:b w:val="0"/>
                      <w:color w:val="auto"/>
                      <w:kern w:val="2"/>
                      <w:sz w:val="21"/>
                      <w:szCs w:val="21"/>
                      <w:highlight w:val="none"/>
                      <w:vertAlign w:val="subscript"/>
                    </w:rPr>
                  </w:pPr>
                  <w:r>
                    <w:rPr>
                      <w:rFonts w:hint="default" w:ascii="Times New Roman" w:hAnsi="Times New Roman" w:eastAsia="宋体" w:cs="Times New Roman"/>
                      <w:b w:val="0"/>
                      <w:color w:val="auto"/>
                      <w:kern w:val="2"/>
                      <w:sz w:val="21"/>
                      <w:szCs w:val="21"/>
                      <w:highlight w:val="none"/>
                    </w:rPr>
                    <w:t>COD</w:t>
                  </w:r>
                  <w:r>
                    <w:rPr>
                      <w:rFonts w:hint="default" w:ascii="Times New Roman" w:hAnsi="Times New Roman" w:eastAsia="宋体" w:cs="Times New Roman"/>
                      <w:b w:val="0"/>
                      <w:color w:val="auto"/>
                      <w:kern w:val="2"/>
                      <w:sz w:val="21"/>
                      <w:szCs w:val="21"/>
                      <w:highlight w:val="none"/>
                      <w:vertAlign w:val="subscript"/>
                    </w:rPr>
                    <w:t>Cr</w:t>
                  </w:r>
                </w:p>
              </w:tc>
              <w:tc>
                <w:tcPr>
                  <w:tcW w:w="1000" w:type="dxa"/>
                  <w:tcBorders>
                    <w:top w:val="single" w:color="auto" w:sz="4" w:space="0"/>
                    <w:left w:val="nil"/>
                    <w:bottom w:val="single" w:color="auto" w:sz="4" w:space="0"/>
                    <w:right w:val="single" w:color="auto" w:sz="4" w:space="0"/>
                  </w:tcBorders>
                  <w:noWrap w:val="0"/>
                  <w:vAlign w:val="center"/>
                </w:tcPr>
                <w:p w14:paraId="50108DC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color w:val="auto"/>
                      <w:kern w:val="2"/>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285</w:t>
                  </w:r>
                </w:p>
              </w:tc>
              <w:tc>
                <w:tcPr>
                  <w:tcW w:w="883" w:type="dxa"/>
                  <w:tcBorders>
                    <w:top w:val="single" w:color="auto" w:sz="4" w:space="0"/>
                    <w:left w:val="nil"/>
                    <w:bottom w:val="single" w:color="auto" w:sz="4" w:space="0"/>
                    <w:right w:val="single" w:color="auto" w:sz="4" w:space="0"/>
                  </w:tcBorders>
                  <w:noWrap w:val="0"/>
                  <w:vAlign w:val="center"/>
                </w:tcPr>
                <w:p w14:paraId="0EEE23E3">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0.1436 </w:t>
                  </w:r>
                </w:p>
              </w:tc>
              <w:tc>
                <w:tcPr>
                  <w:tcW w:w="717" w:type="dxa"/>
                  <w:vMerge w:val="restart"/>
                  <w:tcBorders>
                    <w:top w:val="single" w:color="auto" w:sz="4" w:space="0"/>
                    <w:left w:val="nil"/>
                    <w:right w:val="single" w:color="auto" w:sz="4" w:space="0"/>
                  </w:tcBorders>
                  <w:noWrap w:val="0"/>
                  <w:vAlign w:val="center"/>
                </w:tcPr>
                <w:p w14:paraId="1A63026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化粪池</w:t>
                  </w:r>
                </w:p>
              </w:tc>
              <w:tc>
                <w:tcPr>
                  <w:tcW w:w="866" w:type="dxa"/>
                  <w:tcBorders>
                    <w:top w:val="single" w:color="auto" w:sz="4" w:space="0"/>
                    <w:left w:val="nil"/>
                    <w:bottom w:val="single" w:color="auto" w:sz="4" w:space="0"/>
                    <w:right w:val="single" w:color="auto" w:sz="4" w:space="0"/>
                  </w:tcBorders>
                  <w:noWrap w:val="0"/>
                  <w:vAlign w:val="center"/>
                </w:tcPr>
                <w:p w14:paraId="282459F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15%</w:t>
                  </w:r>
                </w:p>
              </w:tc>
              <w:tc>
                <w:tcPr>
                  <w:tcW w:w="1050" w:type="dxa"/>
                  <w:tcBorders>
                    <w:top w:val="single" w:color="auto" w:sz="4" w:space="0"/>
                    <w:left w:val="nil"/>
                    <w:bottom w:val="single" w:color="auto" w:sz="4" w:space="0"/>
                    <w:right w:val="single" w:color="auto" w:sz="4" w:space="0"/>
                  </w:tcBorders>
                  <w:noWrap w:val="0"/>
                  <w:vAlign w:val="center"/>
                </w:tcPr>
                <w:p w14:paraId="09C2381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color w:val="auto"/>
                      <w:kern w:val="2"/>
                      <w:sz w:val="21"/>
                      <w:szCs w:val="21"/>
                      <w:highlight w:val="none"/>
                      <w:lang w:val="en-US" w:eastAsia="zh-CN"/>
                    </w:rPr>
                  </w:pPr>
                  <w:r>
                    <w:rPr>
                      <w:rFonts w:hint="eastAsia" w:ascii="Times New Roman" w:hAnsi="Times New Roman" w:eastAsia="宋体" w:cs="Times New Roman"/>
                      <w:b w:val="0"/>
                      <w:color w:val="auto"/>
                      <w:kern w:val="2"/>
                      <w:sz w:val="21"/>
                      <w:szCs w:val="21"/>
                      <w:highlight w:val="none"/>
                      <w:lang w:val="en-US" w:eastAsia="zh-CN"/>
                    </w:rPr>
                    <w:t>242.25</w:t>
                  </w:r>
                </w:p>
              </w:tc>
              <w:tc>
                <w:tcPr>
                  <w:tcW w:w="1098" w:type="dxa"/>
                  <w:tcBorders>
                    <w:top w:val="single" w:color="auto" w:sz="4" w:space="0"/>
                    <w:left w:val="nil"/>
                    <w:bottom w:val="single" w:color="auto" w:sz="4" w:space="0"/>
                    <w:right w:val="single" w:color="auto" w:sz="4" w:space="0"/>
                  </w:tcBorders>
                  <w:noWrap w:val="0"/>
                  <w:vAlign w:val="center"/>
                </w:tcPr>
                <w:p w14:paraId="525640B4">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0.1221 </w:t>
                  </w:r>
                </w:p>
              </w:tc>
            </w:tr>
            <w:tr w14:paraId="28A38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273" w:type="dxa"/>
                  <w:vMerge w:val="continue"/>
                  <w:tcBorders>
                    <w:left w:val="single" w:color="auto" w:sz="4" w:space="0"/>
                    <w:right w:val="single" w:color="auto" w:sz="4" w:space="0"/>
                  </w:tcBorders>
                  <w:noWrap w:val="0"/>
                  <w:vAlign w:val="center"/>
                </w:tcPr>
                <w:p w14:paraId="240888F4">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p>
              </w:tc>
              <w:tc>
                <w:tcPr>
                  <w:tcW w:w="917" w:type="dxa"/>
                  <w:tcBorders>
                    <w:top w:val="single" w:color="auto" w:sz="4" w:space="0"/>
                    <w:left w:val="nil"/>
                    <w:bottom w:val="single" w:color="auto" w:sz="4" w:space="0"/>
                    <w:right w:val="single" w:color="auto" w:sz="4" w:space="0"/>
                  </w:tcBorders>
                  <w:noWrap w:val="0"/>
                  <w:vAlign w:val="center"/>
                </w:tcPr>
                <w:p w14:paraId="0DE04C7C">
                  <w:pPr>
                    <w:pStyle w:val="28"/>
                    <w:keepNext w:val="0"/>
                    <w:keepLines w:val="0"/>
                    <w:widowControl/>
                    <w:suppressLineNumbers w:val="0"/>
                    <w:ind w:left="0" w:right="0" w:firstLine="0"/>
                    <w:jc w:val="center"/>
                    <w:rPr>
                      <w:rFonts w:hint="default" w:ascii="Times New Roman" w:hAnsi="Times New Roman" w:eastAsia="宋体" w:cs="Times New Roman"/>
                      <w:b w:val="0"/>
                      <w:color w:val="auto"/>
                      <w:kern w:val="2"/>
                      <w:sz w:val="21"/>
                      <w:szCs w:val="21"/>
                      <w:highlight w:val="none"/>
                    </w:rPr>
                  </w:pPr>
                  <w:r>
                    <w:rPr>
                      <w:rFonts w:hint="default" w:ascii="Times New Roman" w:hAnsi="Times New Roman" w:eastAsia="宋体" w:cs="Times New Roman"/>
                      <w:b w:val="0"/>
                      <w:color w:val="auto"/>
                      <w:kern w:val="2"/>
                      <w:sz w:val="21"/>
                      <w:szCs w:val="21"/>
                      <w:highlight w:val="none"/>
                    </w:rPr>
                    <w:t>BOD</w:t>
                  </w:r>
                  <w:r>
                    <w:rPr>
                      <w:rFonts w:hint="default" w:ascii="Times New Roman" w:hAnsi="Times New Roman" w:eastAsia="宋体" w:cs="Times New Roman"/>
                      <w:b w:val="0"/>
                      <w:color w:val="auto"/>
                      <w:kern w:val="2"/>
                      <w:sz w:val="21"/>
                      <w:szCs w:val="21"/>
                      <w:highlight w:val="none"/>
                      <w:vertAlign w:val="subscript"/>
                    </w:rPr>
                    <w:t>5</w:t>
                  </w:r>
                </w:p>
              </w:tc>
              <w:tc>
                <w:tcPr>
                  <w:tcW w:w="1000" w:type="dxa"/>
                  <w:tcBorders>
                    <w:top w:val="single" w:color="auto" w:sz="4" w:space="0"/>
                    <w:left w:val="nil"/>
                    <w:bottom w:val="single" w:color="auto" w:sz="4" w:space="0"/>
                    <w:right w:val="single" w:color="auto" w:sz="4" w:space="0"/>
                  </w:tcBorders>
                  <w:noWrap w:val="0"/>
                  <w:vAlign w:val="center"/>
                </w:tcPr>
                <w:p w14:paraId="3FEFCFE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color w:val="auto"/>
                      <w:kern w:val="2"/>
                      <w:sz w:val="21"/>
                      <w:szCs w:val="21"/>
                      <w:highlight w:val="none"/>
                      <w:lang w:val="en-US"/>
                    </w:rPr>
                  </w:pPr>
                  <w:r>
                    <w:rPr>
                      <w:rFonts w:hint="eastAsia" w:ascii="Times New Roman" w:hAnsi="Times New Roman" w:eastAsia="宋体" w:cs="Times New Roman"/>
                      <w:i w:val="0"/>
                      <w:iCs w:val="0"/>
                      <w:color w:val="auto"/>
                      <w:kern w:val="0"/>
                      <w:sz w:val="21"/>
                      <w:szCs w:val="21"/>
                      <w:highlight w:val="none"/>
                      <w:u w:val="none"/>
                      <w:lang w:val="en-US" w:eastAsia="zh-CN" w:bidi="ar"/>
                    </w:rPr>
                    <w:t>129</w:t>
                  </w:r>
                </w:p>
              </w:tc>
              <w:tc>
                <w:tcPr>
                  <w:tcW w:w="883" w:type="dxa"/>
                  <w:tcBorders>
                    <w:top w:val="single" w:color="auto" w:sz="4" w:space="0"/>
                    <w:left w:val="nil"/>
                    <w:bottom w:val="single" w:color="auto" w:sz="4" w:space="0"/>
                    <w:right w:val="single" w:color="auto" w:sz="4" w:space="0"/>
                  </w:tcBorders>
                  <w:noWrap w:val="0"/>
                  <w:vAlign w:val="center"/>
                </w:tcPr>
                <w:p w14:paraId="0394AFD4">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0.0650 </w:t>
                  </w:r>
                </w:p>
              </w:tc>
              <w:tc>
                <w:tcPr>
                  <w:tcW w:w="717" w:type="dxa"/>
                  <w:vMerge w:val="continue"/>
                  <w:tcBorders>
                    <w:left w:val="nil"/>
                    <w:right w:val="single" w:color="auto" w:sz="4" w:space="0"/>
                  </w:tcBorders>
                  <w:noWrap w:val="0"/>
                  <w:vAlign w:val="center"/>
                </w:tcPr>
                <w:p w14:paraId="3ECCF11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866" w:type="dxa"/>
                  <w:tcBorders>
                    <w:top w:val="single" w:color="auto" w:sz="4" w:space="0"/>
                    <w:left w:val="nil"/>
                    <w:bottom w:val="single" w:color="auto" w:sz="4" w:space="0"/>
                    <w:right w:val="single" w:color="auto" w:sz="4" w:space="0"/>
                  </w:tcBorders>
                  <w:noWrap w:val="0"/>
                  <w:vAlign w:val="center"/>
                </w:tcPr>
                <w:p w14:paraId="6FAB291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9%</w:t>
                  </w:r>
                </w:p>
              </w:tc>
              <w:tc>
                <w:tcPr>
                  <w:tcW w:w="1050" w:type="dxa"/>
                  <w:tcBorders>
                    <w:top w:val="single" w:color="auto" w:sz="4" w:space="0"/>
                    <w:left w:val="nil"/>
                    <w:bottom w:val="single" w:color="auto" w:sz="4" w:space="0"/>
                    <w:right w:val="single" w:color="auto" w:sz="4" w:space="0"/>
                  </w:tcBorders>
                  <w:noWrap w:val="0"/>
                  <w:vAlign w:val="center"/>
                </w:tcPr>
                <w:p w14:paraId="488DE77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color w:val="auto"/>
                      <w:kern w:val="2"/>
                      <w:sz w:val="21"/>
                      <w:szCs w:val="21"/>
                      <w:highlight w:val="none"/>
                      <w:lang w:val="en-US" w:eastAsia="zh-CN"/>
                    </w:rPr>
                  </w:pPr>
                  <w:r>
                    <w:rPr>
                      <w:rFonts w:hint="eastAsia" w:ascii="Times New Roman" w:hAnsi="Times New Roman" w:eastAsia="宋体" w:cs="Times New Roman"/>
                      <w:b w:val="0"/>
                      <w:color w:val="auto"/>
                      <w:kern w:val="2"/>
                      <w:sz w:val="21"/>
                      <w:szCs w:val="21"/>
                      <w:highlight w:val="none"/>
                      <w:lang w:val="en-US" w:eastAsia="zh-CN"/>
                    </w:rPr>
                    <w:t>117.4</w:t>
                  </w:r>
                </w:p>
              </w:tc>
              <w:tc>
                <w:tcPr>
                  <w:tcW w:w="1098" w:type="dxa"/>
                  <w:tcBorders>
                    <w:top w:val="single" w:color="auto" w:sz="4" w:space="0"/>
                    <w:left w:val="nil"/>
                    <w:bottom w:val="single" w:color="auto" w:sz="4" w:space="0"/>
                    <w:right w:val="single" w:color="auto" w:sz="4" w:space="0"/>
                  </w:tcBorders>
                  <w:noWrap w:val="0"/>
                  <w:vAlign w:val="center"/>
                </w:tcPr>
                <w:p w14:paraId="5D407210">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0.0592 </w:t>
                  </w:r>
                </w:p>
              </w:tc>
            </w:tr>
            <w:tr w14:paraId="78141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273" w:type="dxa"/>
                  <w:vMerge w:val="continue"/>
                  <w:tcBorders>
                    <w:left w:val="single" w:color="auto" w:sz="4" w:space="0"/>
                    <w:right w:val="single" w:color="auto" w:sz="4" w:space="0"/>
                  </w:tcBorders>
                  <w:noWrap w:val="0"/>
                  <w:vAlign w:val="center"/>
                </w:tcPr>
                <w:p w14:paraId="281CFB07">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p>
              </w:tc>
              <w:tc>
                <w:tcPr>
                  <w:tcW w:w="917" w:type="dxa"/>
                  <w:tcBorders>
                    <w:top w:val="single" w:color="auto" w:sz="4" w:space="0"/>
                    <w:left w:val="nil"/>
                    <w:bottom w:val="single" w:color="auto" w:sz="4" w:space="0"/>
                    <w:right w:val="single" w:color="auto" w:sz="4" w:space="0"/>
                  </w:tcBorders>
                  <w:noWrap w:val="0"/>
                  <w:vAlign w:val="center"/>
                </w:tcPr>
                <w:p w14:paraId="4F9CCA10">
                  <w:pPr>
                    <w:pStyle w:val="28"/>
                    <w:keepNext w:val="0"/>
                    <w:keepLines w:val="0"/>
                    <w:widowControl/>
                    <w:suppressLineNumbers w:val="0"/>
                    <w:ind w:left="0" w:right="0" w:firstLine="0"/>
                    <w:jc w:val="center"/>
                    <w:rPr>
                      <w:rFonts w:hint="default" w:ascii="Times New Roman" w:hAnsi="Times New Roman" w:eastAsia="宋体" w:cs="Times New Roman"/>
                      <w:b w:val="0"/>
                      <w:color w:val="auto"/>
                      <w:kern w:val="2"/>
                      <w:sz w:val="21"/>
                      <w:szCs w:val="21"/>
                      <w:highlight w:val="none"/>
                    </w:rPr>
                  </w:pPr>
                  <w:r>
                    <w:rPr>
                      <w:rFonts w:hint="default" w:ascii="Times New Roman" w:hAnsi="Times New Roman" w:eastAsia="宋体" w:cs="Times New Roman"/>
                      <w:b w:val="0"/>
                      <w:color w:val="auto"/>
                      <w:kern w:val="2"/>
                      <w:sz w:val="21"/>
                      <w:szCs w:val="21"/>
                      <w:highlight w:val="none"/>
                    </w:rPr>
                    <w:t>SS</w:t>
                  </w:r>
                </w:p>
              </w:tc>
              <w:tc>
                <w:tcPr>
                  <w:tcW w:w="1000" w:type="dxa"/>
                  <w:tcBorders>
                    <w:top w:val="single" w:color="auto" w:sz="4" w:space="0"/>
                    <w:left w:val="nil"/>
                    <w:bottom w:val="single" w:color="auto" w:sz="4" w:space="0"/>
                    <w:right w:val="single" w:color="auto" w:sz="4" w:space="0"/>
                  </w:tcBorders>
                  <w:noWrap w:val="0"/>
                  <w:vAlign w:val="center"/>
                </w:tcPr>
                <w:p w14:paraId="574610A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color w:val="auto"/>
                      <w:kern w:val="2"/>
                      <w:sz w:val="21"/>
                      <w:szCs w:val="21"/>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eastAsia" w:ascii="Times New Roman" w:hAnsi="Times New Roman" w:eastAsia="宋体" w:cs="Times New Roman"/>
                      <w:i w:val="0"/>
                      <w:iCs w:val="0"/>
                      <w:color w:val="auto"/>
                      <w:kern w:val="0"/>
                      <w:sz w:val="21"/>
                      <w:szCs w:val="21"/>
                      <w:highlight w:val="none"/>
                      <w:u w:val="none"/>
                      <w:lang w:val="en-US" w:eastAsia="zh-CN" w:bidi="ar"/>
                    </w:rPr>
                    <w:t>50</w:t>
                  </w:r>
                </w:p>
              </w:tc>
              <w:tc>
                <w:tcPr>
                  <w:tcW w:w="883" w:type="dxa"/>
                  <w:tcBorders>
                    <w:top w:val="single" w:color="auto" w:sz="4" w:space="0"/>
                    <w:left w:val="nil"/>
                    <w:bottom w:val="single" w:color="auto" w:sz="4" w:space="0"/>
                    <w:right w:val="single" w:color="auto" w:sz="4" w:space="0"/>
                  </w:tcBorders>
                  <w:noWrap w:val="0"/>
                  <w:vAlign w:val="center"/>
                </w:tcPr>
                <w:p w14:paraId="36A70C37">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0.1260 </w:t>
                  </w:r>
                </w:p>
              </w:tc>
              <w:tc>
                <w:tcPr>
                  <w:tcW w:w="717" w:type="dxa"/>
                  <w:vMerge w:val="continue"/>
                  <w:tcBorders>
                    <w:left w:val="nil"/>
                    <w:right w:val="single" w:color="auto" w:sz="4" w:space="0"/>
                  </w:tcBorders>
                  <w:noWrap w:val="0"/>
                  <w:vAlign w:val="center"/>
                </w:tcPr>
                <w:p w14:paraId="3AC2148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866" w:type="dxa"/>
                  <w:tcBorders>
                    <w:top w:val="single" w:color="auto" w:sz="4" w:space="0"/>
                    <w:left w:val="nil"/>
                    <w:bottom w:val="single" w:color="auto" w:sz="4" w:space="0"/>
                    <w:right w:val="single" w:color="auto" w:sz="4" w:space="0"/>
                  </w:tcBorders>
                  <w:noWrap w:val="0"/>
                  <w:vAlign w:val="center"/>
                </w:tcPr>
                <w:p w14:paraId="079DD1A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30%</w:t>
                  </w:r>
                </w:p>
              </w:tc>
              <w:tc>
                <w:tcPr>
                  <w:tcW w:w="1050" w:type="dxa"/>
                  <w:tcBorders>
                    <w:top w:val="single" w:color="auto" w:sz="4" w:space="0"/>
                    <w:left w:val="nil"/>
                    <w:bottom w:val="single" w:color="auto" w:sz="4" w:space="0"/>
                    <w:right w:val="single" w:color="auto" w:sz="4" w:space="0"/>
                  </w:tcBorders>
                  <w:noWrap w:val="0"/>
                  <w:vAlign w:val="center"/>
                </w:tcPr>
                <w:p w14:paraId="222D762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color w:val="auto"/>
                      <w:kern w:val="2"/>
                      <w:sz w:val="21"/>
                      <w:szCs w:val="21"/>
                      <w:highlight w:val="none"/>
                      <w:lang w:val="en-US" w:eastAsia="zh-CN"/>
                    </w:rPr>
                  </w:pPr>
                  <w:r>
                    <w:rPr>
                      <w:rFonts w:hint="eastAsia" w:ascii="Times New Roman" w:hAnsi="Times New Roman" w:eastAsia="宋体" w:cs="Times New Roman"/>
                      <w:b w:val="0"/>
                      <w:color w:val="auto"/>
                      <w:kern w:val="2"/>
                      <w:sz w:val="21"/>
                      <w:szCs w:val="21"/>
                      <w:highlight w:val="none"/>
                      <w:lang w:val="en-US" w:eastAsia="zh-CN"/>
                    </w:rPr>
                    <w:t>175</w:t>
                  </w:r>
                </w:p>
              </w:tc>
              <w:tc>
                <w:tcPr>
                  <w:tcW w:w="1098" w:type="dxa"/>
                  <w:tcBorders>
                    <w:top w:val="single" w:color="auto" w:sz="4" w:space="0"/>
                    <w:left w:val="nil"/>
                    <w:bottom w:val="single" w:color="auto" w:sz="4" w:space="0"/>
                    <w:right w:val="single" w:color="auto" w:sz="4" w:space="0"/>
                  </w:tcBorders>
                  <w:noWrap w:val="0"/>
                  <w:vAlign w:val="center"/>
                </w:tcPr>
                <w:p w14:paraId="030F62F9">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0.0882 </w:t>
                  </w:r>
                </w:p>
              </w:tc>
            </w:tr>
            <w:tr w14:paraId="13062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273" w:type="dxa"/>
                  <w:vMerge w:val="continue"/>
                  <w:tcBorders>
                    <w:left w:val="single" w:color="auto" w:sz="4" w:space="0"/>
                    <w:right w:val="single" w:color="auto" w:sz="4" w:space="0"/>
                  </w:tcBorders>
                  <w:noWrap w:val="0"/>
                  <w:vAlign w:val="center"/>
                </w:tcPr>
                <w:p w14:paraId="2F3D1209">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p>
              </w:tc>
              <w:tc>
                <w:tcPr>
                  <w:tcW w:w="917" w:type="dxa"/>
                  <w:tcBorders>
                    <w:top w:val="single" w:color="auto" w:sz="4" w:space="0"/>
                    <w:left w:val="nil"/>
                    <w:bottom w:val="single" w:color="auto" w:sz="4" w:space="0"/>
                    <w:right w:val="single" w:color="auto" w:sz="4" w:space="0"/>
                  </w:tcBorders>
                  <w:noWrap w:val="0"/>
                  <w:vAlign w:val="center"/>
                </w:tcPr>
                <w:p w14:paraId="66307F33">
                  <w:pPr>
                    <w:pStyle w:val="28"/>
                    <w:keepNext w:val="0"/>
                    <w:keepLines w:val="0"/>
                    <w:widowControl/>
                    <w:suppressLineNumbers w:val="0"/>
                    <w:ind w:left="0" w:right="0" w:firstLine="0"/>
                    <w:jc w:val="center"/>
                    <w:rPr>
                      <w:rFonts w:hint="default" w:ascii="Times New Roman" w:hAnsi="Times New Roman" w:eastAsia="宋体" w:cs="Times New Roman"/>
                      <w:b w:val="0"/>
                      <w:color w:val="auto"/>
                      <w:kern w:val="2"/>
                      <w:sz w:val="21"/>
                      <w:szCs w:val="21"/>
                      <w:highlight w:val="none"/>
                    </w:rPr>
                  </w:pPr>
                  <w:r>
                    <w:rPr>
                      <w:rFonts w:hint="default" w:ascii="Times New Roman" w:hAnsi="Times New Roman" w:eastAsia="宋体" w:cs="Times New Roman"/>
                      <w:b w:val="0"/>
                      <w:color w:val="auto"/>
                      <w:kern w:val="2"/>
                      <w:sz w:val="21"/>
                      <w:szCs w:val="21"/>
                      <w:highlight w:val="none"/>
                    </w:rPr>
                    <w:t>氨氮</w:t>
                  </w:r>
                </w:p>
              </w:tc>
              <w:tc>
                <w:tcPr>
                  <w:tcW w:w="1000" w:type="dxa"/>
                  <w:tcBorders>
                    <w:top w:val="single" w:color="auto" w:sz="4" w:space="0"/>
                    <w:left w:val="nil"/>
                    <w:bottom w:val="single" w:color="auto" w:sz="4" w:space="0"/>
                    <w:right w:val="single" w:color="auto" w:sz="4" w:space="0"/>
                  </w:tcBorders>
                  <w:noWrap w:val="0"/>
                  <w:vAlign w:val="center"/>
                </w:tcPr>
                <w:p w14:paraId="1929BB9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color w:val="auto"/>
                      <w:kern w:val="2"/>
                      <w:sz w:val="21"/>
                      <w:szCs w:val="21"/>
                      <w:highlight w:val="none"/>
                      <w:lang w:val="en-US"/>
                    </w:rPr>
                  </w:pPr>
                  <w:r>
                    <w:rPr>
                      <w:rFonts w:hint="eastAsia" w:ascii="Times New Roman" w:hAnsi="Times New Roman" w:eastAsia="宋体" w:cs="Times New Roman"/>
                      <w:i w:val="0"/>
                      <w:iCs w:val="0"/>
                      <w:color w:val="auto"/>
                      <w:kern w:val="0"/>
                      <w:sz w:val="21"/>
                      <w:szCs w:val="21"/>
                      <w:highlight w:val="none"/>
                      <w:u w:val="none"/>
                      <w:lang w:val="en-US" w:eastAsia="zh-CN" w:bidi="ar"/>
                    </w:rPr>
                    <w:t>22.6</w:t>
                  </w:r>
                </w:p>
              </w:tc>
              <w:tc>
                <w:tcPr>
                  <w:tcW w:w="883" w:type="dxa"/>
                  <w:tcBorders>
                    <w:top w:val="single" w:color="auto" w:sz="4" w:space="0"/>
                    <w:left w:val="nil"/>
                    <w:bottom w:val="single" w:color="auto" w:sz="4" w:space="0"/>
                    <w:right w:val="single" w:color="auto" w:sz="4" w:space="0"/>
                  </w:tcBorders>
                  <w:noWrap w:val="0"/>
                  <w:vAlign w:val="center"/>
                </w:tcPr>
                <w:p w14:paraId="010A14CC">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0.0114 </w:t>
                  </w:r>
                </w:p>
              </w:tc>
              <w:tc>
                <w:tcPr>
                  <w:tcW w:w="717" w:type="dxa"/>
                  <w:vMerge w:val="continue"/>
                  <w:tcBorders>
                    <w:left w:val="nil"/>
                    <w:right w:val="single" w:color="auto" w:sz="4" w:space="0"/>
                  </w:tcBorders>
                  <w:noWrap w:val="0"/>
                  <w:vAlign w:val="center"/>
                </w:tcPr>
                <w:p w14:paraId="3C7661F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866" w:type="dxa"/>
                  <w:tcBorders>
                    <w:top w:val="single" w:color="auto" w:sz="4" w:space="0"/>
                    <w:left w:val="nil"/>
                    <w:bottom w:val="single" w:color="auto" w:sz="4" w:space="0"/>
                    <w:right w:val="single" w:color="auto" w:sz="4" w:space="0"/>
                  </w:tcBorders>
                  <w:noWrap w:val="0"/>
                  <w:vAlign w:val="center"/>
                </w:tcPr>
                <w:p w14:paraId="2BDAF67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3%</w:t>
                  </w:r>
                </w:p>
              </w:tc>
              <w:tc>
                <w:tcPr>
                  <w:tcW w:w="1050" w:type="dxa"/>
                  <w:tcBorders>
                    <w:top w:val="single" w:color="auto" w:sz="4" w:space="0"/>
                    <w:left w:val="nil"/>
                    <w:bottom w:val="single" w:color="auto" w:sz="4" w:space="0"/>
                    <w:right w:val="single" w:color="auto" w:sz="4" w:space="0"/>
                  </w:tcBorders>
                  <w:noWrap w:val="0"/>
                  <w:vAlign w:val="center"/>
                </w:tcPr>
                <w:p w14:paraId="7F6CD98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color w:val="auto"/>
                      <w:kern w:val="2"/>
                      <w:sz w:val="21"/>
                      <w:szCs w:val="21"/>
                      <w:highlight w:val="none"/>
                      <w:lang w:val="en-US" w:eastAsia="zh-CN"/>
                    </w:rPr>
                  </w:pPr>
                  <w:r>
                    <w:rPr>
                      <w:rFonts w:hint="eastAsia" w:ascii="Times New Roman" w:hAnsi="Times New Roman" w:eastAsia="宋体" w:cs="Times New Roman"/>
                      <w:b w:val="0"/>
                      <w:color w:val="auto"/>
                      <w:kern w:val="2"/>
                      <w:sz w:val="21"/>
                      <w:szCs w:val="21"/>
                      <w:highlight w:val="none"/>
                      <w:lang w:val="en-US" w:eastAsia="zh-CN"/>
                    </w:rPr>
                    <w:t>21.9</w:t>
                  </w:r>
                </w:p>
              </w:tc>
              <w:tc>
                <w:tcPr>
                  <w:tcW w:w="1098" w:type="dxa"/>
                  <w:tcBorders>
                    <w:top w:val="single" w:color="auto" w:sz="4" w:space="0"/>
                    <w:left w:val="nil"/>
                    <w:bottom w:val="single" w:color="auto" w:sz="4" w:space="0"/>
                    <w:right w:val="single" w:color="auto" w:sz="4" w:space="0"/>
                  </w:tcBorders>
                  <w:noWrap w:val="0"/>
                  <w:vAlign w:val="center"/>
                </w:tcPr>
                <w:p w14:paraId="458CBE11">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0.0110 </w:t>
                  </w:r>
                </w:p>
              </w:tc>
            </w:tr>
            <w:tr w14:paraId="216C8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273" w:type="dxa"/>
                  <w:vMerge w:val="continue"/>
                  <w:tcBorders>
                    <w:left w:val="single" w:color="auto" w:sz="4" w:space="0"/>
                    <w:right w:val="single" w:color="auto" w:sz="4" w:space="0"/>
                  </w:tcBorders>
                  <w:noWrap w:val="0"/>
                  <w:vAlign w:val="center"/>
                </w:tcPr>
                <w:p w14:paraId="53BA4E0C">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p>
              </w:tc>
              <w:tc>
                <w:tcPr>
                  <w:tcW w:w="917" w:type="dxa"/>
                  <w:tcBorders>
                    <w:top w:val="single" w:color="auto" w:sz="4" w:space="0"/>
                    <w:left w:val="nil"/>
                    <w:bottom w:val="single" w:color="auto" w:sz="4" w:space="0"/>
                    <w:right w:val="single" w:color="auto" w:sz="4" w:space="0"/>
                  </w:tcBorders>
                  <w:noWrap w:val="0"/>
                  <w:vAlign w:val="center"/>
                </w:tcPr>
                <w:p w14:paraId="2B248222">
                  <w:pPr>
                    <w:pStyle w:val="28"/>
                    <w:keepNext w:val="0"/>
                    <w:keepLines w:val="0"/>
                    <w:widowControl/>
                    <w:suppressLineNumbers w:val="0"/>
                    <w:ind w:left="0" w:right="0" w:firstLine="0"/>
                    <w:jc w:val="center"/>
                    <w:rPr>
                      <w:rFonts w:hint="default" w:ascii="Times New Roman" w:hAnsi="Times New Roman" w:eastAsia="宋体" w:cs="Times New Roman"/>
                      <w:b w:val="0"/>
                      <w:color w:val="auto"/>
                      <w:kern w:val="2"/>
                      <w:sz w:val="21"/>
                      <w:szCs w:val="21"/>
                      <w:highlight w:val="none"/>
                      <w:lang w:val="en-US" w:eastAsia="zh-CN"/>
                    </w:rPr>
                  </w:pPr>
                  <w:r>
                    <w:rPr>
                      <w:rFonts w:hint="default" w:ascii="Times New Roman" w:hAnsi="Times New Roman" w:eastAsia="宋体" w:cs="Times New Roman"/>
                      <w:b w:val="0"/>
                      <w:color w:val="auto"/>
                      <w:kern w:val="2"/>
                      <w:sz w:val="21"/>
                      <w:szCs w:val="21"/>
                      <w:highlight w:val="none"/>
                      <w:lang w:val="en-US" w:eastAsia="zh-CN"/>
                    </w:rPr>
                    <w:t>T</w:t>
                  </w:r>
                  <w:r>
                    <w:rPr>
                      <w:rFonts w:hint="eastAsia" w:ascii="Times New Roman" w:hAnsi="Times New Roman" w:eastAsia="宋体" w:cs="Times New Roman"/>
                      <w:b w:val="0"/>
                      <w:color w:val="auto"/>
                      <w:kern w:val="2"/>
                      <w:sz w:val="21"/>
                      <w:szCs w:val="21"/>
                      <w:highlight w:val="none"/>
                      <w:lang w:val="en-US" w:eastAsia="zh-CN"/>
                    </w:rPr>
                    <w:t>P</w:t>
                  </w:r>
                </w:p>
              </w:tc>
              <w:tc>
                <w:tcPr>
                  <w:tcW w:w="1000" w:type="dxa"/>
                  <w:tcBorders>
                    <w:top w:val="single" w:color="auto" w:sz="4" w:space="0"/>
                    <w:left w:val="nil"/>
                    <w:bottom w:val="single" w:color="auto" w:sz="4" w:space="0"/>
                    <w:right w:val="single" w:color="auto" w:sz="4" w:space="0"/>
                  </w:tcBorders>
                  <w:noWrap w:val="0"/>
                  <w:vAlign w:val="center"/>
                </w:tcPr>
                <w:p w14:paraId="636EB34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color w:val="auto"/>
                      <w:kern w:val="2"/>
                      <w:sz w:val="21"/>
                      <w:szCs w:val="21"/>
                      <w:highlight w:val="none"/>
                      <w:lang w:val="en-US" w:eastAsia="zh-CN"/>
                    </w:rPr>
                  </w:pPr>
                  <w:r>
                    <w:rPr>
                      <w:rFonts w:hint="eastAsia" w:ascii="Times New Roman" w:hAnsi="Times New Roman" w:eastAsia="宋体" w:cs="Times New Roman"/>
                      <w:i w:val="0"/>
                      <w:iCs w:val="0"/>
                      <w:color w:val="auto"/>
                      <w:kern w:val="0"/>
                      <w:sz w:val="21"/>
                      <w:szCs w:val="21"/>
                      <w:highlight w:val="none"/>
                      <w:u w:val="none"/>
                      <w:lang w:val="en-US" w:eastAsia="zh-CN" w:bidi="ar"/>
                    </w:rPr>
                    <w:t>3.96</w:t>
                  </w:r>
                </w:p>
              </w:tc>
              <w:tc>
                <w:tcPr>
                  <w:tcW w:w="883" w:type="dxa"/>
                  <w:tcBorders>
                    <w:top w:val="single" w:color="auto" w:sz="4" w:space="0"/>
                    <w:left w:val="nil"/>
                    <w:bottom w:val="single" w:color="auto" w:sz="4" w:space="0"/>
                    <w:right w:val="single" w:color="auto" w:sz="4" w:space="0"/>
                  </w:tcBorders>
                  <w:noWrap w:val="0"/>
                  <w:vAlign w:val="center"/>
                </w:tcPr>
                <w:p w14:paraId="7F9CF31D">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0.0020 </w:t>
                  </w:r>
                </w:p>
              </w:tc>
              <w:tc>
                <w:tcPr>
                  <w:tcW w:w="717" w:type="dxa"/>
                  <w:vMerge w:val="continue"/>
                  <w:tcBorders>
                    <w:left w:val="nil"/>
                    <w:right w:val="single" w:color="auto" w:sz="4" w:space="0"/>
                  </w:tcBorders>
                  <w:noWrap w:val="0"/>
                  <w:vAlign w:val="center"/>
                </w:tcPr>
                <w:p w14:paraId="5DA59ED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866" w:type="dxa"/>
                  <w:tcBorders>
                    <w:top w:val="single" w:color="auto" w:sz="4" w:space="0"/>
                    <w:left w:val="nil"/>
                    <w:bottom w:val="single" w:color="auto" w:sz="4" w:space="0"/>
                    <w:right w:val="single" w:color="auto" w:sz="4" w:space="0"/>
                  </w:tcBorders>
                  <w:noWrap w:val="0"/>
                  <w:vAlign w:val="center"/>
                </w:tcPr>
                <w:p w14:paraId="49C47BF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3%</w:t>
                  </w:r>
                </w:p>
              </w:tc>
              <w:tc>
                <w:tcPr>
                  <w:tcW w:w="1050" w:type="dxa"/>
                  <w:tcBorders>
                    <w:top w:val="single" w:color="auto" w:sz="4" w:space="0"/>
                    <w:left w:val="nil"/>
                    <w:bottom w:val="single" w:color="auto" w:sz="4" w:space="0"/>
                    <w:right w:val="single" w:color="auto" w:sz="4" w:space="0"/>
                  </w:tcBorders>
                  <w:noWrap w:val="0"/>
                  <w:vAlign w:val="center"/>
                </w:tcPr>
                <w:p w14:paraId="3E406A5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color w:val="auto"/>
                      <w:kern w:val="2"/>
                      <w:sz w:val="21"/>
                      <w:szCs w:val="21"/>
                      <w:highlight w:val="none"/>
                      <w:lang w:val="en-US" w:eastAsia="zh-CN"/>
                    </w:rPr>
                  </w:pPr>
                  <w:r>
                    <w:rPr>
                      <w:rFonts w:hint="eastAsia" w:ascii="Times New Roman" w:hAnsi="Times New Roman" w:eastAsia="宋体" w:cs="Times New Roman"/>
                      <w:b w:val="0"/>
                      <w:color w:val="auto"/>
                      <w:kern w:val="2"/>
                      <w:sz w:val="21"/>
                      <w:szCs w:val="21"/>
                      <w:highlight w:val="none"/>
                      <w:lang w:val="en-US" w:eastAsia="zh-CN"/>
                    </w:rPr>
                    <w:t>3.84</w:t>
                  </w:r>
                </w:p>
              </w:tc>
              <w:tc>
                <w:tcPr>
                  <w:tcW w:w="1098" w:type="dxa"/>
                  <w:tcBorders>
                    <w:top w:val="single" w:color="auto" w:sz="4" w:space="0"/>
                    <w:left w:val="nil"/>
                    <w:bottom w:val="single" w:color="auto" w:sz="4" w:space="0"/>
                    <w:right w:val="single" w:color="auto" w:sz="4" w:space="0"/>
                  </w:tcBorders>
                  <w:noWrap w:val="0"/>
                  <w:vAlign w:val="center"/>
                </w:tcPr>
                <w:p w14:paraId="3D4E2BD9">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0.0019 </w:t>
                  </w:r>
                </w:p>
              </w:tc>
            </w:tr>
            <w:tr w14:paraId="3342B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1273" w:type="dxa"/>
                  <w:vMerge w:val="continue"/>
                  <w:tcBorders>
                    <w:left w:val="single" w:color="auto" w:sz="4" w:space="0"/>
                    <w:right w:val="single" w:color="auto" w:sz="4" w:space="0"/>
                  </w:tcBorders>
                  <w:noWrap w:val="0"/>
                  <w:vAlign w:val="center"/>
                </w:tcPr>
                <w:p w14:paraId="161C21CC">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p>
              </w:tc>
              <w:tc>
                <w:tcPr>
                  <w:tcW w:w="917" w:type="dxa"/>
                  <w:tcBorders>
                    <w:top w:val="single" w:color="auto" w:sz="4" w:space="0"/>
                    <w:left w:val="nil"/>
                    <w:bottom w:val="single" w:color="auto" w:sz="4" w:space="0"/>
                    <w:right w:val="single" w:color="auto" w:sz="4" w:space="0"/>
                  </w:tcBorders>
                  <w:noWrap w:val="0"/>
                  <w:vAlign w:val="center"/>
                </w:tcPr>
                <w:p w14:paraId="5226B3CB">
                  <w:pPr>
                    <w:pStyle w:val="28"/>
                    <w:keepNext w:val="0"/>
                    <w:keepLines w:val="0"/>
                    <w:widowControl/>
                    <w:suppressLineNumbers w:val="0"/>
                    <w:ind w:left="0" w:right="0" w:firstLine="0"/>
                    <w:jc w:val="center"/>
                    <w:rPr>
                      <w:rFonts w:hint="default" w:ascii="Times New Roman" w:hAnsi="Times New Roman" w:eastAsia="宋体" w:cs="Times New Roman"/>
                      <w:b w:val="0"/>
                      <w:color w:val="auto"/>
                      <w:kern w:val="2"/>
                      <w:sz w:val="21"/>
                      <w:szCs w:val="21"/>
                      <w:highlight w:val="none"/>
                      <w:lang w:val="en-US" w:eastAsia="zh-CN"/>
                    </w:rPr>
                  </w:pPr>
                  <w:r>
                    <w:rPr>
                      <w:rFonts w:hint="default" w:ascii="Times New Roman" w:hAnsi="Times New Roman" w:eastAsia="宋体" w:cs="Times New Roman"/>
                      <w:b w:val="0"/>
                      <w:color w:val="auto"/>
                      <w:kern w:val="2"/>
                      <w:sz w:val="21"/>
                      <w:szCs w:val="21"/>
                      <w:highlight w:val="none"/>
                      <w:lang w:val="en-US" w:eastAsia="zh-CN"/>
                    </w:rPr>
                    <w:t>T</w:t>
                  </w:r>
                  <w:r>
                    <w:rPr>
                      <w:rFonts w:hint="eastAsia" w:ascii="Times New Roman" w:hAnsi="Times New Roman" w:eastAsia="宋体" w:cs="Times New Roman"/>
                      <w:b w:val="0"/>
                      <w:color w:val="auto"/>
                      <w:kern w:val="2"/>
                      <w:sz w:val="21"/>
                      <w:szCs w:val="21"/>
                      <w:highlight w:val="none"/>
                      <w:lang w:val="en-US" w:eastAsia="zh-CN"/>
                    </w:rPr>
                    <w:t>N</w:t>
                  </w:r>
                </w:p>
              </w:tc>
              <w:tc>
                <w:tcPr>
                  <w:tcW w:w="1000" w:type="dxa"/>
                  <w:tcBorders>
                    <w:top w:val="single" w:color="auto" w:sz="4" w:space="0"/>
                    <w:left w:val="nil"/>
                    <w:bottom w:val="single" w:color="auto" w:sz="4" w:space="0"/>
                    <w:right w:val="single" w:color="auto" w:sz="4" w:space="0"/>
                  </w:tcBorders>
                  <w:noWrap w:val="0"/>
                  <w:vAlign w:val="center"/>
                </w:tcPr>
                <w:p w14:paraId="11950E5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color w:val="auto"/>
                      <w:kern w:val="2"/>
                      <w:sz w:val="21"/>
                      <w:szCs w:val="21"/>
                      <w:highlight w:val="none"/>
                      <w:lang w:val="en-US" w:eastAsia="zh-CN"/>
                    </w:rPr>
                  </w:pPr>
                  <w:r>
                    <w:rPr>
                      <w:rFonts w:hint="eastAsia" w:ascii="Times New Roman" w:hAnsi="Times New Roman" w:eastAsia="宋体" w:cs="Times New Roman"/>
                      <w:i w:val="0"/>
                      <w:iCs w:val="0"/>
                      <w:color w:val="auto"/>
                      <w:kern w:val="0"/>
                      <w:sz w:val="21"/>
                      <w:szCs w:val="21"/>
                      <w:highlight w:val="none"/>
                      <w:u w:val="none"/>
                      <w:lang w:val="en-US" w:eastAsia="zh-CN" w:bidi="ar"/>
                    </w:rPr>
                    <w:t>31.2</w:t>
                  </w:r>
                </w:p>
              </w:tc>
              <w:tc>
                <w:tcPr>
                  <w:tcW w:w="883" w:type="dxa"/>
                  <w:tcBorders>
                    <w:top w:val="single" w:color="auto" w:sz="4" w:space="0"/>
                    <w:left w:val="nil"/>
                    <w:bottom w:val="single" w:color="auto" w:sz="4" w:space="0"/>
                    <w:right w:val="single" w:color="auto" w:sz="4" w:space="0"/>
                  </w:tcBorders>
                  <w:noWrap w:val="0"/>
                  <w:vAlign w:val="center"/>
                </w:tcPr>
                <w:p w14:paraId="7990BDD3">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0.0157 </w:t>
                  </w:r>
                </w:p>
              </w:tc>
              <w:tc>
                <w:tcPr>
                  <w:tcW w:w="717" w:type="dxa"/>
                  <w:vMerge w:val="continue"/>
                  <w:tcBorders>
                    <w:left w:val="nil"/>
                    <w:right w:val="single" w:color="auto" w:sz="4" w:space="0"/>
                  </w:tcBorders>
                  <w:noWrap w:val="0"/>
                  <w:vAlign w:val="center"/>
                </w:tcPr>
                <w:p w14:paraId="4407F66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866" w:type="dxa"/>
                  <w:tcBorders>
                    <w:top w:val="single" w:color="auto" w:sz="4" w:space="0"/>
                    <w:left w:val="nil"/>
                    <w:bottom w:val="single" w:color="auto" w:sz="4" w:space="0"/>
                    <w:right w:val="single" w:color="auto" w:sz="4" w:space="0"/>
                  </w:tcBorders>
                  <w:noWrap w:val="0"/>
                  <w:vAlign w:val="center"/>
                </w:tcPr>
                <w:p w14:paraId="2576D8E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3%</w:t>
                  </w:r>
                </w:p>
              </w:tc>
              <w:tc>
                <w:tcPr>
                  <w:tcW w:w="1050" w:type="dxa"/>
                  <w:tcBorders>
                    <w:top w:val="single" w:color="auto" w:sz="4" w:space="0"/>
                    <w:left w:val="nil"/>
                    <w:bottom w:val="single" w:color="auto" w:sz="4" w:space="0"/>
                    <w:right w:val="single" w:color="auto" w:sz="4" w:space="0"/>
                  </w:tcBorders>
                  <w:noWrap w:val="0"/>
                  <w:vAlign w:val="center"/>
                </w:tcPr>
                <w:p w14:paraId="1BD1F68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color w:val="auto"/>
                      <w:kern w:val="2"/>
                      <w:sz w:val="21"/>
                      <w:szCs w:val="21"/>
                      <w:highlight w:val="none"/>
                      <w:lang w:val="en-US" w:eastAsia="zh-CN"/>
                    </w:rPr>
                  </w:pPr>
                  <w:r>
                    <w:rPr>
                      <w:rFonts w:hint="eastAsia" w:ascii="Times New Roman" w:hAnsi="Times New Roman" w:eastAsia="宋体" w:cs="Times New Roman"/>
                      <w:b w:val="0"/>
                      <w:color w:val="auto"/>
                      <w:kern w:val="2"/>
                      <w:sz w:val="21"/>
                      <w:szCs w:val="21"/>
                      <w:highlight w:val="none"/>
                      <w:lang w:val="en-US" w:eastAsia="zh-CN"/>
                    </w:rPr>
                    <w:t>30.3</w:t>
                  </w:r>
                </w:p>
              </w:tc>
              <w:tc>
                <w:tcPr>
                  <w:tcW w:w="1098" w:type="dxa"/>
                  <w:tcBorders>
                    <w:top w:val="single" w:color="auto" w:sz="4" w:space="0"/>
                    <w:left w:val="nil"/>
                    <w:bottom w:val="single" w:color="auto" w:sz="4" w:space="0"/>
                    <w:right w:val="single" w:color="auto" w:sz="4" w:space="0"/>
                  </w:tcBorders>
                  <w:noWrap w:val="0"/>
                  <w:vAlign w:val="center"/>
                </w:tcPr>
                <w:p w14:paraId="1EAF37CF">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0.0153 </w:t>
                  </w:r>
                </w:p>
              </w:tc>
            </w:tr>
            <w:tr w14:paraId="7A7C2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1273" w:type="dxa"/>
                  <w:vMerge w:val="continue"/>
                  <w:tcBorders>
                    <w:left w:val="single" w:color="auto" w:sz="4" w:space="0"/>
                    <w:right w:val="single" w:color="auto" w:sz="4" w:space="0"/>
                  </w:tcBorders>
                  <w:noWrap w:val="0"/>
                  <w:vAlign w:val="center"/>
                </w:tcPr>
                <w:p w14:paraId="06E74F1E">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p>
              </w:tc>
              <w:tc>
                <w:tcPr>
                  <w:tcW w:w="917" w:type="dxa"/>
                  <w:tcBorders>
                    <w:top w:val="single" w:color="auto" w:sz="4" w:space="0"/>
                    <w:left w:val="nil"/>
                    <w:bottom w:val="single" w:color="auto" w:sz="4" w:space="0"/>
                    <w:right w:val="single" w:color="auto" w:sz="4" w:space="0"/>
                  </w:tcBorders>
                  <w:noWrap w:val="0"/>
                  <w:vAlign w:val="center"/>
                </w:tcPr>
                <w:p w14:paraId="71A5F395">
                  <w:pPr>
                    <w:pStyle w:val="28"/>
                    <w:keepNext w:val="0"/>
                    <w:keepLines w:val="0"/>
                    <w:widowControl/>
                    <w:suppressLineNumbers w:val="0"/>
                    <w:ind w:left="0" w:right="0" w:firstLine="0"/>
                    <w:jc w:val="center"/>
                    <w:rPr>
                      <w:rFonts w:hint="default" w:ascii="Times New Roman" w:hAnsi="Times New Roman" w:eastAsia="宋体" w:cs="Times New Roman"/>
                      <w:b w:val="0"/>
                      <w:color w:val="auto"/>
                      <w:kern w:val="2"/>
                      <w:sz w:val="21"/>
                      <w:szCs w:val="21"/>
                      <w:highlight w:val="none"/>
                      <w:lang w:val="en-US" w:eastAsia="zh-CN"/>
                    </w:rPr>
                  </w:pPr>
                  <w:r>
                    <w:rPr>
                      <w:rFonts w:hint="eastAsia" w:ascii="Times New Roman" w:hAnsi="Times New Roman" w:eastAsia="宋体" w:cs="Times New Roman"/>
                      <w:b w:val="0"/>
                      <w:color w:val="auto"/>
                      <w:kern w:val="2"/>
                      <w:sz w:val="21"/>
                      <w:szCs w:val="21"/>
                      <w:highlight w:val="none"/>
                      <w:lang w:val="en-US" w:eastAsia="zh-CN"/>
                    </w:rPr>
                    <w:t>动植物油</w:t>
                  </w:r>
                </w:p>
              </w:tc>
              <w:tc>
                <w:tcPr>
                  <w:tcW w:w="1000" w:type="dxa"/>
                  <w:tcBorders>
                    <w:top w:val="single" w:color="auto" w:sz="4" w:space="0"/>
                    <w:left w:val="nil"/>
                    <w:bottom w:val="single" w:color="auto" w:sz="4" w:space="0"/>
                    <w:right w:val="single" w:color="auto" w:sz="4" w:space="0"/>
                  </w:tcBorders>
                  <w:noWrap w:val="0"/>
                  <w:vAlign w:val="center"/>
                </w:tcPr>
                <w:p w14:paraId="30A459D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3.66</w:t>
                  </w:r>
                </w:p>
              </w:tc>
              <w:tc>
                <w:tcPr>
                  <w:tcW w:w="883" w:type="dxa"/>
                  <w:tcBorders>
                    <w:top w:val="single" w:color="auto" w:sz="4" w:space="0"/>
                    <w:left w:val="nil"/>
                    <w:bottom w:val="single" w:color="auto" w:sz="4" w:space="0"/>
                    <w:right w:val="single" w:color="auto" w:sz="4" w:space="0"/>
                  </w:tcBorders>
                  <w:noWrap w:val="0"/>
                  <w:vAlign w:val="center"/>
                </w:tcPr>
                <w:p w14:paraId="0803D052">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0.0018 </w:t>
                  </w:r>
                </w:p>
              </w:tc>
              <w:tc>
                <w:tcPr>
                  <w:tcW w:w="717" w:type="dxa"/>
                  <w:vMerge w:val="continue"/>
                  <w:tcBorders>
                    <w:left w:val="nil"/>
                    <w:right w:val="single" w:color="auto" w:sz="4" w:space="0"/>
                  </w:tcBorders>
                  <w:noWrap w:val="0"/>
                  <w:vAlign w:val="center"/>
                </w:tcPr>
                <w:p w14:paraId="7F3B945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866" w:type="dxa"/>
                  <w:tcBorders>
                    <w:top w:val="single" w:color="auto" w:sz="4" w:space="0"/>
                    <w:left w:val="nil"/>
                    <w:bottom w:val="single" w:color="auto" w:sz="4" w:space="0"/>
                    <w:right w:val="single" w:color="auto" w:sz="4" w:space="0"/>
                  </w:tcBorders>
                  <w:noWrap w:val="0"/>
                  <w:vAlign w:val="center"/>
                </w:tcPr>
                <w:p w14:paraId="4F54ED4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30%</w:t>
                  </w:r>
                </w:p>
              </w:tc>
              <w:tc>
                <w:tcPr>
                  <w:tcW w:w="1050" w:type="dxa"/>
                  <w:tcBorders>
                    <w:top w:val="single" w:color="auto" w:sz="4" w:space="0"/>
                    <w:left w:val="nil"/>
                    <w:bottom w:val="single" w:color="auto" w:sz="4" w:space="0"/>
                    <w:right w:val="single" w:color="auto" w:sz="4" w:space="0"/>
                  </w:tcBorders>
                  <w:noWrap w:val="0"/>
                  <w:vAlign w:val="center"/>
                </w:tcPr>
                <w:p w14:paraId="42B1F67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color w:val="auto"/>
                      <w:kern w:val="2"/>
                      <w:sz w:val="21"/>
                      <w:szCs w:val="21"/>
                      <w:highlight w:val="none"/>
                      <w:lang w:val="en-US" w:eastAsia="zh-CN"/>
                    </w:rPr>
                  </w:pPr>
                  <w:r>
                    <w:rPr>
                      <w:rFonts w:hint="eastAsia" w:ascii="Times New Roman" w:hAnsi="Times New Roman" w:eastAsia="宋体" w:cs="Times New Roman"/>
                      <w:b w:val="0"/>
                      <w:color w:val="auto"/>
                      <w:kern w:val="2"/>
                      <w:sz w:val="21"/>
                      <w:szCs w:val="21"/>
                      <w:highlight w:val="none"/>
                      <w:lang w:val="en-US" w:eastAsia="zh-CN"/>
                    </w:rPr>
                    <w:t>2.56</w:t>
                  </w:r>
                </w:p>
              </w:tc>
              <w:tc>
                <w:tcPr>
                  <w:tcW w:w="1098" w:type="dxa"/>
                  <w:tcBorders>
                    <w:top w:val="single" w:color="auto" w:sz="4" w:space="0"/>
                    <w:left w:val="nil"/>
                    <w:bottom w:val="single" w:color="auto" w:sz="4" w:space="0"/>
                    <w:right w:val="single" w:color="auto" w:sz="4" w:space="0"/>
                  </w:tcBorders>
                  <w:noWrap w:val="0"/>
                  <w:vAlign w:val="center"/>
                </w:tcPr>
                <w:p w14:paraId="0AE789D6">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0.0013 </w:t>
                  </w:r>
                </w:p>
              </w:tc>
            </w:tr>
          </w:tbl>
          <w:p w14:paraId="46877B18">
            <w:pPr>
              <w:pStyle w:val="81"/>
              <w:suppressLineNumbers w:val="0"/>
              <w:spacing w:beforeAutospacing="0" w:afterAutospacing="0"/>
              <w:ind w:left="0" w:leftChars="0" w:right="0" w:firstLine="482" w:firstLineChars="200"/>
              <w:rPr>
                <w:rFonts w:hint="eastAsia" w:ascii="Times New Roman" w:hAnsi="Times New Roman" w:eastAsia="宋体" w:cs="Times New Roman"/>
                <w:b/>
                <w:bCs/>
                <w:color w:val="auto"/>
                <w:sz w:val="24"/>
                <w:szCs w:val="22"/>
                <w:highlight w:val="none"/>
                <w:lang w:val="en-US" w:eastAsia="zh-CN"/>
              </w:rPr>
            </w:pPr>
            <w:r>
              <w:rPr>
                <w:rFonts w:hint="eastAsia" w:ascii="Times New Roman" w:eastAsia="宋体" w:cs="Times New Roman"/>
                <w:b/>
                <w:bCs/>
                <w:color w:val="auto"/>
                <w:sz w:val="24"/>
                <w:szCs w:val="22"/>
                <w:highlight w:val="none"/>
                <w:lang w:val="en-US" w:eastAsia="zh-CN"/>
              </w:rPr>
              <w:t>2、</w:t>
            </w:r>
            <w:r>
              <w:rPr>
                <w:rFonts w:hint="eastAsia" w:ascii="Times New Roman" w:hAnsi="Times New Roman" w:eastAsia="宋体" w:cs="Times New Roman"/>
                <w:b/>
                <w:bCs/>
                <w:color w:val="auto"/>
                <w:sz w:val="24"/>
                <w:szCs w:val="22"/>
                <w:highlight w:val="none"/>
                <w:lang w:val="en-US" w:eastAsia="zh-CN"/>
              </w:rPr>
              <w:t>排放口基本情况</w:t>
            </w:r>
          </w:p>
          <w:p w14:paraId="69BF9E6D">
            <w:pPr>
              <w:keepNext w:val="0"/>
              <w:keepLines w:val="0"/>
              <w:pageBreakBefore w:val="0"/>
              <w:widowControl w:val="0"/>
              <w:suppressLineNumbers w:val="0"/>
              <w:kinsoku/>
              <w:wordWrap/>
              <w:overflowPunct/>
              <w:topLinePunct w:val="0"/>
              <w:autoSpaceDE/>
              <w:autoSpaceDN/>
              <w:bidi w:val="0"/>
              <w:adjustRightInd/>
              <w:snapToGrid/>
              <w:spacing w:before="120" w:beforeLines="50" w:beforeAutospacing="0" w:after="0" w:afterAutospacing="0" w:line="240" w:lineRule="auto"/>
              <w:ind w:left="0" w:right="0"/>
              <w:jc w:val="center"/>
              <w:textAlignment w:val="auto"/>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rPr>
              <w:t>表4</w:t>
            </w:r>
            <w:r>
              <w:rPr>
                <w:rFonts w:hint="eastAsia" w:cs="Times New Roman"/>
                <w:b/>
                <w:color w:val="auto"/>
                <w:highlight w:val="none"/>
                <w:lang w:val="en-US" w:eastAsia="zh-CN"/>
              </w:rPr>
              <w:t>-1</w:t>
            </w:r>
            <w:r>
              <w:rPr>
                <w:rFonts w:hint="eastAsia" w:ascii="Times New Roman" w:hAnsi="Times New Roman" w:eastAsia="宋体" w:cs="Times New Roman"/>
                <w:b/>
                <w:color w:val="auto"/>
                <w:highlight w:val="none"/>
                <w:lang w:val="en-US" w:eastAsia="zh-CN"/>
              </w:rPr>
              <w:t>2</w:t>
            </w:r>
            <w:r>
              <w:rPr>
                <w:rFonts w:hint="default" w:ascii="Times New Roman" w:hAnsi="Times New Roman" w:eastAsia="宋体" w:cs="Times New Roman"/>
                <w:b/>
                <w:color w:val="auto"/>
                <w:highlight w:val="none"/>
              </w:rPr>
              <w:t xml:space="preserve"> 废水间接排放口基础信息表</w:t>
            </w:r>
          </w:p>
          <w:tbl>
            <w:tblPr>
              <w:tblStyle w:val="31"/>
              <w:tblW w:w="7597"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07"/>
              <w:gridCol w:w="763"/>
              <w:gridCol w:w="816"/>
              <w:gridCol w:w="746"/>
              <w:gridCol w:w="851"/>
              <w:gridCol w:w="587"/>
              <w:gridCol w:w="974"/>
              <w:gridCol w:w="790"/>
              <w:gridCol w:w="1463"/>
            </w:tblGrid>
            <w:tr w14:paraId="3218B3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6" w:hRule="atLeast"/>
              </w:trPr>
              <w:tc>
                <w:tcPr>
                  <w:tcW w:w="607" w:type="dxa"/>
                  <w:vMerge w:val="restart"/>
                  <w:noWrap w:val="0"/>
                  <w:vAlign w:val="center"/>
                </w:tcPr>
                <w:p w14:paraId="71E1E7EC">
                  <w:pPr>
                    <w:keepNext w:val="0"/>
                    <w:keepLines w:val="0"/>
                    <w:suppressLineNumbers w:val="0"/>
                    <w:tabs>
                      <w:tab w:val="left" w:pos="6840"/>
                    </w:tabs>
                    <w:spacing w:before="0" w:beforeAutospacing="0" w:after="0" w:afterAutospacing="0" w:line="260" w:lineRule="exact"/>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排放口编号</w:t>
                  </w:r>
                </w:p>
              </w:tc>
              <w:tc>
                <w:tcPr>
                  <w:tcW w:w="1579" w:type="dxa"/>
                  <w:gridSpan w:val="2"/>
                  <w:noWrap w:val="0"/>
                  <w:vAlign w:val="center"/>
                </w:tcPr>
                <w:p w14:paraId="6C7950B9">
                  <w:pPr>
                    <w:keepNext w:val="0"/>
                    <w:keepLines w:val="0"/>
                    <w:suppressLineNumbers w:val="0"/>
                    <w:tabs>
                      <w:tab w:val="left" w:pos="6840"/>
                    </w:tabs>
                    <w:spacing w:before="0" w:beforeAutospacing="0" w:after="0" w:afterAutospacing="0" w:line="260" w:lineRule="exact"/>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排放口地理坐标/m</w:t>
                  </w:r>
                </w:p>
              </w:tc>
              <w:tc>
                <w:tcPr>
                  <w:tcW w:w="746" w:type="dxa"/>
                  <w:vMerge w:val="restart"/>
                  <w:noWrap w:val="0"/>
                  <w:vAlign w:val="center"/>
                </w:tcPr>
                <w:p w14:paraId="70C5036D">
                  <w:pPr>
                    <w:keepNext w:val="0"/>
                    <w:keepLines w:val="0"/>
                    <w:suppressLineNumbers w:val="0"/>
                    <w:tabs>
                      <w:tab w:val="left" w:pos="6840"/>
                    </w:tabs>
                    <w:spacing w:before="0" w:beforeAutospacing="0" w:after="0" w:afterAutospacing="0" w:line="260" w:lineRule="exact"/>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废水排水量</w:t>
                  </w:r>
                </w:p>
                <w:p w14:paraId="508E2DE1">
                  <w:pPr>
                    <w:keepNext w:val="0"/>
                    <w:keepLines w:val="0"/>
                    <w:suppressLineNumbers w:val="0"/>
                    <w:tabs>
                      <w:tab w:val="left" w:pos="6840"/>
                    </w:tabs>
                    <w:spacing w:before="0" w:beforeAutospacing="0" w:after="0" w:afterAutospacing="0" w:line="260" w:lineRule="exact"/>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(万m</w:t>
                  </w:r>
                  <w:r>
                    <w:rPr>
                      <w:rFonts w:hint="default" w:ascii="Times New Roman" w:hAnsi="Times New Roman" w:eastAsia="宋体" w:cs="Times New Roman"/>
                      <w:b/>
                      <w:bCs/>
                      <w:color w:val="auto"/>
                      <w:sz w:val="21"/>
                      <w:szCs w:val="21"/>
                      <w:highlight w:val="none"/>
                      <w:vertAlign w:val="superscript"/>
                    </w:rPr>
                    <w:t>3</w:t>
                  </w:r>
                  <w:r>
                    <w:rPr>
                      <w:rFonts w:hint="default" w:ascii="Times New Roman" w:hAnsi="Times New Roman" w:eastAsia="宋体" w:cs="Times New Roman"/>
                      <w:b/>
                      <w:bCs/>
                      <w:color w:val="auto"/>
                      <w:sz w:val="21"/>
                      <w:szCs w:val="21"/>
                      <w:highlight w:val="none"/>
                    </w:rPr>
                    <w:t>/a)</w:t>
                  </w:r>
                </w:p>
              </w:tc>
              <w:tc>
                <w:tcPr>
                  <w:tcW w:w="851" w:type="dxa"/>
                  <w:vMerge w:val="restart"/>
                  <w:noWrap w:val="0"/>
                  <w:vAlign w:val="center"/>
                </w:tcPr>
                <w:p w14:paraId="4ED366D0">
                  <w:pPr>
                    <w:keepNext w:val="0"/>
                    <w:keepLines w:val="0"/>
                    <w:suppressLineNumbers w:val="0"/>
                    <w:tabs>
                      <w:tab w:val="left" w:pos="6840"/>
                    </w:tabs>
                    <w:spacing w:before="0" w:beforeAutospacing="0" w:after="0" w:afterAutospacing="0" w:line="260" w:lineRule="exact"/>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w:t>
                  </w:r>
                </w:p>
                <w:p w14:paraId="3B2118B5">
                  <w:pPr>
                    <w:keepNext w:val="0"/>
                    <w:keepLines w:val="0"/>
                    <w:suppressLineNumbers w:val="0"/>
                    <w:tabs>
                      <w:tab w:val="left" w:pos="6840"/>
                    </w:tabs>
                    <w:spacing w:before="0" w:beforeAutospacing="0" w:after="0" w:afterAutospacing="0" w:line="260" w:lineRule="exact"/>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去向</w:t>
                  </w:r>
                </w:p>
              </w:tc>
              <w:tc>
                <w:tcPr>
                  <w:tcW w:w="587" w:type="dxa"/>
                  <w:vMerge w:val="restart"/>
                  <w:noWrap w:val="0"/>
                  <w:vAlign w:val="center"/>
                </w:tcPr>
                <w:p w14:paraId="0703D272">
                  <w:pPr>
                    <w:keepNext w:val="0"/>
                    <w:keepLines w:val="0"/>
                    <w:suppressLineNumbers w:val="0"/>
                    <w:tabs>
                      <w:tab w:val="left" w:pos="6840"/>
                    </w:tabs>
                    <w:spacing w:before="0" w:beforeAutospacing="0" w:after="0" w:afterAutospacing="0" w:line="260" w:lineRule="exact"/>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w:t>
                  </w:r>
                </w:p>
                <w:p w14:paraId="3C65D1DE">
                  <w:pPr>
                    <w:keepNext w:val="0"/>
                    <w:keepLines w:val="0"/>
                    <w:suppressLineNumbers w:val="0"/>
                    <w:tabs>
                      <w:tab w:val="left" w:pos="6840"/>
                    </w:tabs>
                    <w:spacing w:before="0" w:beforeAutospacing="0" w:after="0" w:afterAutospacing="0" w:line="260" w:lineRule="exact"/>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规律</w:t>
                  </w:r>
                </w:p>
              </w:tc>
              <w:tc>
                <w:tcPr>
                  <w:tcW w:w="3227" w:type="dxa"/>
                  <w:gridSpan w:val="3"/>
                  <w:noWrap w:val="0"/>
                  <w:vAlign w:val="center"/>
                </w:tcPr>
                <w:p w14:paraId="63500458">
                  <w:pPr>
                    <w:keepNext w:val="0"/>
                    <w:keepLines w:val="0"/>
                    <w:suppressLineNumbers w:val="0"/>
                    <w:tabs>
                      <w:tab w:val="left" w:pos="6840"/>
                    </w:tabs>
                    <w:spacing w:before="0" w:beforeAutospacing="0" w:after="0" w:afterAutospacing="0" w:line="260" w:lineRule="exact"/>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受纳污水处理厂信息</w:t>
                  </w:r>
                </w:p>
              </w:tc>
            </w:tr>
            <w:tr w14:paraId="54F6CD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11" w:hRule="atLeast"/>
              </w:trPr>
              <w:tc>
                <w:tcPr>
                  <w:tcW w:w="607" w:type="dxa"/>
                  <w:vMerge w:val="continue"/>
                  <w:noWrap w:val="0"/>
                  <w:vAlign w:val="center"/>
                </w:tcPr>
                <w:p w14:paraId="70F8937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p>
              </w:tc>
              <w:tc>
                <w:tcPr>
                  <w:tcW w:w="763" w:type="dxa"/>
                  <w:noWrap w:val="0"/>
                  <w:vAlign w:val="center"/>
                </w:tcPr>
                <w:p w14:paraId="14FB1370">
                  <w:pPr>
                    <w:keepNext w:val="0"/>
                    <w:keepLines w:val="0"/>
                    <w:suppressLineNumbers w:val="0"/>
                    <w:tabs>
                      <w:tab w:val="left" w:pos="6840"/>
                    </w:tabs>
                    <w:adjustRightInd w:val="0"/>
                    <w:snapToGrid w:val="0"/>
                    <w:spacing w:before="0" w:beforeAutospacing="0" w:after="0" w:afterAutospacing="0" w:line="260" w:lineRule="exact"/>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经度</w:t>
                  </w:r>
                </w:p>
              </w:tc>
              <w:tc>
                <w:tcPr>
                  <w:tcW w:w="816" w:type="dxa"/>
                  <w:noWrap w:val="0"/>
                  <w:vAlign w:val="center"/>
                </w:tcPr>
                <w:p w14:paraId="361353D2">
                  <w:pPr>
                    <w:keepNext w:val="0"/>
                    <w:keepLines w:val="0"/>
                    <w:suppressLineNumbers w:val="0"/>
                    <w:tabs>
                      <w:tab w:val="left" w:pos="6840"/>
                    </w:tabs>
                    <w:adjustRightInd w:val="0"/>
                    <w:snapToGrid w:val="0"/>
                    <w:spacing w:before="0" w:beforeAutospacing="0" w:after="0" w:afterAutospacing="0" w:line="260" w:lineRule="exact"/>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纬度</w:t>
                  </w:r>
                </w:p>
              </w:tc>
              <w:tc>
                <w:tcPr>
                  <w:tcW w:w="746" w:type="dxa"/>
                  <w:vMerge w:val="continue"/>
                  <w:noWrap w:val="0"/>
                  <w:vAlign w:val="center"/>
                </w:tcPr>
                <w:p w14:paraId="369712F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p>
              </w:tc>
              <w:tc>
                <w:tcPr>
                  <w:tcW w:w="851" w:type="dxa"/>
                  <w:vMerge w:val="continue"/>
                  <w:noWrap w:val="0"/>
                  <w:vAlign w:val="center"/>
                </w:tcPr>
                <w:p w14:paraId="4BDF216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p>
              </w:tc>
              <w:tc>
                <w:tcPr>
                  <w:tcW w:w="587" w:type="dxa"/>
                  <w:vMerge w:val="continue"/>
                  <w:noWrap w:val="0"/>
                  <w:vAlign w:val="center"/>
                </w:tcPr>
                <w:p w14:paraId="4C9F1F7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p>
              </w:tc>
              <w:tc>
                <w:tcPr>
                  <w:tcW w:w="974" w:type="dxa"/>
                  <w:noWrap w:val="0"/>
                  <w:vAlign w:val="center"/>
                </w:tcPr>
                <w:p w14:paraId="34DB33D6">
                  <w:pPr>
                    <w:keepNext w:val="0"/>
                    <w:keepLines w:val="0"/>
                    <w:suppressLineNumbers w:val="0"/>
                    <w:tabs>
                      <w:tab w:val="left" w:pos="6840"/>
                    </w:tabs>
                    <w:adjustRightInd w:val="0"/>
                    <w:snapToGrid w:val="0"/>
                    <w:spacing w:before="0" w:beforeAutospacing="0" w:after="0" w:afterAutospacing="0" w:line="260" w:lineRule="exact"/>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名称</w:t>
                  </w:r>
                </w:p>
              </w:tc>
              <w:tc>
                <w:tcPr>
                  <w:tcW w:w="790" w:type="dxa"/>
                  <w:noWrap w:val="0"/>
                  <w:vAlign w:val="center"/>
                </w:tcPr>
                <w:p w14:paraId="0DEE6663">
                  <w:pPr>
                    <w:keepNext w:val="0"/>
                    <w:keepLines w:val="0"/>
                    <w:suppressLineNumbers w:val="0"/>
                    <w:tabs>
                      <w:tab w:val="left" w:pos="6840"/>
                    </w:tabs>
                    <w:adjustRightInd w:val="0"/>
                    <w:snapToGrid w:val="0"/>
                    <w:spacing w:before="0" w:beforeAutospacing="0" w:after="0" w:afterAutospacing="0" w:line="260" w:lineRule="exact"/>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污染物种类</w:t>
                  </w:r>
                </w:p>
              </w:tc>
              <w:tc>
                <w:tcPr>
                  <w:tcW w:w="1463" w:type="dxa"/>
                  <w:noWrap w:val="0"/>
                  <w:vAlign w:val="center"/>
                </w:tcPr>
                <w:p w14:paraId="5D92351A">
                  <w:pPr>
                    <w:keepNext w:val="0"/>
                    <w:keepLines w:val="0"/>
                    <w:suppressLineNumbers w:val="0"/>
                    <w:tabs>
                      <w:tab w:val="left" w:pos="6840"/>
                    </w:tabs>
                    <w:adjustRightInd w:val="0"/>
                    <w:snapToGrid w:val="0"/>
                    <w:spacing w:before="0" w:beforeAutospacing="0" w:after="0" w:afterAutospacing="0" w:line="260" w:lineRule="exact"/>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国家或地方污染物排放标准限值/（mg/L）</w:t>
                  </w:r>
                </w:p>
              </w:tc>
            </w:tr>
            <w:tr w14:paraId="0D54B7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12" w:hRule="atLeast"/>
              </w:trPr>
              <w:tc>
                <w:tcPr>
                  <w:tcW w:w="607" w:type="dxa"/>
                  <w:noWrap w:val="0"/>
                  <w:vAlign w:val="center"/>
                </w:tcPr>
                <w:p w14:paraId="0558D216">
                  <w:pPr>
                    <w:keepNext w:val="0"/>
                    <w:keepLines w:val="0"/>
                    <w:suppressLineNumbers w:val="0"/>
                    <w:tabs>
                      <w:tab w:val="left" w:pos="6840"/>
                    </w:tabs>
                    <w:spacing w:before="0" w:beforeAutospacing="0" w:after="0" w:afterAutospacing="0" w:line="260" w:lineRule="exact"/>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DW001</w:t>
                  </w:r>
                </w:p>
              </w:tc>
              <w:tc>
                <w:tcPr>
                  <w:tcW w:w="763" w:type="dxa"/>
                  <w:noWrap w:val="0"/>
                  <w:vAlign w:val="center"/>
                </w:tcPr>
                <w:p w14:paraId="58FE0BE6">
                  <w:pPr>
                    <w:keepNext w:val="0"/>
                    <w:keepLines w:val="0"/>
                    <w:suppressLineNumbers w:val="0"/>
                    <w:tabs>
                      <w:tab w:val="left" w:pos="6840"/>
                    </w:tabs>
                    <w:spacing w:before="0" w:beforeAutospacing="0" w:after="0" w:afterAutospacing="0" w:line="260" w:lineRule="exact"/>
                    <w:ind w:left="0" w:right="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eastAsia="zh-CN"/>
                    </w:rPr>
                    <w:t>112.046933</w:t>
                  </w:r>
                  <w:r>
                    <w:rPr>
                      <w:rFonts w:hint="eastAsia" w:cs="Times New Roman"/>
                      <w:color w:val="auto"/>
                      <w:sz w:val="21"/>
                      <w:szCs w:val="21"/>
                      <w:highlight w:val="none"/>
                      <w:vertAlign w:val="baseline"/>
                      <w:lang w:val="en-US" w:eastAsia="zh-CN"/>
                    </w:rPr>
                    <w:t>°</w:t>
                  </w:r>
                </w:p>
              </w:tc>
              <w:tc>
                <w:tcPr>
                  <w:tcW w:w="816" w:type="dxa"/>
                  <w:noWrap w:val="0"/>
                  <w:vAlign w:val="center"/>
                </w:tcPr>
                <w:p w14:paraId="3AF3EA2A">
                  <w:pPr>
                    <w:keepNext w:val="0"/>
                    <w:keepLines w:val="0"/>
                    <w:suppressLineNumbers w:val="0"/>
                    <w:tabs>
                      <w:tab w:val="left" w:pos="6840"/>
                    </w:tabs>
                    <w:spacing w:before="0" w:beforeAutospacing="0" w:after="0" w:afterAutospacing="0" w:line="260" w:lineRule="exact"/>
                    <w:ind w:left="0" w:right="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eastAsia="zh-CN"/>
                    </w:rPr>
                    <w:t>21.927267</w:t>
                  </w:r>
                  <w:r>
                    <w:rPr>
                      <w:rFonts w:hint="eastAsia" w:cs="Times New Roman"/>
                      <w:color w:val="auto"/>
                      <w:sz w:val="21"/>
                      <w:szCs w:val="21"/>
                      <w:highlight w:val="none"/>
                      <w:vertAlign w:val="baseline"/>
                      <w:lang w:val="en-US" w:eastAsia="zh-CN"/>
                    </w:rPr>
                    <w:t>°</w:t>
                  </w:r>
                </w:p>
              </w:tc>
              <w:tc>
                <w:tcPr>
                  <w:tcW w:w="746" w:type="dxa"/>
                  <w:noWrap w:val="0"/>
                  <w:vAlign w:val="center"/>
                </w:tcPr>
                <w:p w14:paraId="691A6F97">
                  <w:pPr>
                    <w:keepNext w:val="0"/>
                    <w:keepLines w:val="0"/>
                    <w:suppressLineNumbers w:val="0"/>
                    <w:tabs>
                      <w:tab w:val="left" w:pos="6840"/>
                    </w:tabs>
                    <w:spacing w:before="0" w:beforeAutospacing="0" w:after="0" w:afterAutospacing="0" w:line="260" w:lineRule="exact"/>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504</w:t>
                  </w:r>
                </w:p>
              </w:tc>
              <w:tc>
                <w:tcPr>
                  <w:tcW w:w="851" w:type="dxa"/>
                  <w:noWrap w:val="0"/>
                  <w:vAlign w:val="center"/>
                </w:tcPr>
                <w:p w14:paraId="6E51600A">
                  <w:pPr>
                    <w:keepNext w:val="0"/>
                    <w:keepLines w:val="0"/>
                    <w:suppressLineNumbers w:val="0"/>
                    <w:tabs>
                      <w:tab w:val="left" w:pos="6840"/>
                    </w:tabs>
                    <w:spacing w:before="0" w:beforeAutospacing="0" w:after="0" w:afterAutospacing="0" w:line="260" w:lineRule="exact"/>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
                    </w:rPr>
                    <w:t>经市政管网进入广东阳东经济开发区污水处理厂</w:t>
                  </w:r>
                </w:p>
              </w:tc>
              <w:tc>
                <w:tcPr>
                  <w:tcW w:w="587" w:type="dxa"/>
                  <w:noWrap w:val="0"/>
                  <w:vAlign w:val="center"/>
                </w:tcPr>
                <w:p w14:paraId="7284EA1F">
                  <w:pPr>
                    <w:keepNext w:val="0"/>
                    <w:keepLines w:val="0"/>
                    <w:suppressLineNumbers w:val="0"/>
                    <w:tabs>
                      <w:tab w:val="left" w:pos="6840"/>
                    </w:tabs>
                    <w:spacing w:before="0" w:beforeAutospacing="0" w:after="0" w:afterAutospacing="0" w:line="260" w:lineRule="exact"/>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间歇排放</w:t>
                  </w:r>
                </w:p>
              </w:tc>
              <w:tc>
                <w:tcPr>
                  <w:tcW w:w="974" w:type="dxa"/>
                  <w:noWrap w:val="0"/>
                  <w:vAlign w:val="center"/>
                </w:tcPr>
                <w:p w14:paraId="020AECF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广东阳东经济开发区污水处理厂</w:t>
                  </w:r>
                </w:p>
              </w:tc>
              <w:tc>
                <w:tcPr>
                  <w:tcW w:w="790" w:type="dxa"/>
                  <w:noWrap w:val="0"/>
                  <w:vAlign w:val="center"/>
                </w:tcPr>
                <w:p w14:paraId="6404A69E">
                  <w:pPr>
                    <w:keepNext w:val="0"/>
                    <w:keepLines w:val="0"/>
                    <w:suppressLineNumbers w:val="0"/>
                    <w:tabs>
                      <w:tab w:val="left" w:pos="6840"/>
                    </w:tabs>
                    <w:adjustRightInd w:val="0"/>
                    <w:snapToGrid w:val="0"/>
                    <w:spacing w:before="0" w:beforeAutospacing="0" w:after="0" w:afterAutospacing="0" w:line="260" w:lineRule="exact"/>
                    <w:ind w:left="0" w:right="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pH</w:t>
                  </w:r>
                </w:p>
                <w:p w14:paraId="26E5F267">
                  <w:pPr>
                    <w:keepNext w:val="0"/>
                    <w:keepLines w:val="0"/>
                    <w:suppressLineNumbers w:val="0"/>
                    <w:tabs>
                      <w:tab w:val="left" w:pos="6840"/>
                    </w:tabs>
                    <w:adjustRightInd w:val="0"/>
                    <w:snapToGrid w:val="0"/>
                    <w:spacing w:before="0" w:beforeAutospacing="0" w:after="0" w:afterAutospacing="0" w:line="260" w:lineRule="exact"/>
                    <w:ind w:left="0" w:right="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CODcr</w:t>
                  </w:r>
                </w:p>
                <w:p w14:paraId="1721B6C7">
                  <w:pPr>
                    <w:keepNext w:val="0"/>
                    <w:keepLines w:val="0"/>
                    <w:suppressLineNumbers w:val="0"/>
                    <w:tabs>
                      <w:tab w:val="left" w:pos="6840"/>
                    </w:tabs>
                    <w:adjustRightInd w:val="0"/>
                    <w:snapToGrid w:val="0"/>
                    <w:spacing w:before="0" w:beforeAutospacing="0" w:after="0" w:afterAutospacing="0" w:line="260" w:lineRule="exact"/>
                    <w:ind w:left="0" w:right="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BOD</w:t>
                  </w:r>
                  <w:r>
                    <w:rPr>
                      <w:rFonts w:hint="default" w:ascii="Times New Roman" w:hAnsi="Times New Roman" w:eastAsia="宋体" w:cs="Times New Roman"/>
                      <w:color w:val="auto"/>
                      <w:sz w:val="21"/>
                      <w:szCs w:val="21"/>
                      <w:highlight w:val="none"/>
                      <w:vertAlign w:val="subscript"/>
                    </w:rPr>
                    <w:t>5</w:t>
                  </w:r>
                </w:p>
                <w:p w14:paraId="674ED556">
                  <w:pPr>
                    <w:keepNext w:val="0"/>
                    <w:keepLines w:val="0"/>
                    <w:suppressLineNumbers w:val="0"/>
                    <w:tabs>
                      <w:tab w:val="left" w:pos="6840"/>
                    </w:tabs>
                    <w:adjustRightInd w:val="0"/>
                    <w:snapToGrid w:val="0"/>
                    <w:spacing w:before="0" w:beforeAutospacing="0" w:after="0" w:afterAutospacing="0" w:line="260" w:lineRule="exact"/>
                    <w:ind w:left="0" w:right="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氨氮</w:t>
                  </w:r>
                </w:p>
                <w:p w14:paraId="10EBD1CD">
                  <w:pPr>
                    <w:keepNext w:val="0"/>
                    <w:keepLines w:val="0"/>
                    <w:suppressLineNumbers w:val="0"/>
                    <w:tabs>
                      <w:tab w:val="left" w:pos="6840"/>
                    </w:tabs>
                    <w:adjustRightInd w:val="0"/>
                    <w:snapToGrid w:val="0"/>
                    <w:spacing w:before="0" w:beforeAutospacing="0" w:after="0" w:afterAutospacing="0" w:line="260" w:lineRule="exact"/>
                    <w:ind w:left="0" w:right="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SS</w:t>
                  </w:r>
                </w:p>
                <w:p w14:paraId="47B44F37">
                  <w:pPr>
                    <w:keepNext w:val="0"/>
                    <w:keepLines w:val="0"/>
                    <w:suppressLineNumbers w:val="0"/>
                    <w:tabs>
                      <w:tab w:val="left" w:pos="6840"/>
                    </w:tabs>
                    <w:adjustRightInd w:val="0"/>
                    <w:snapToGrid w:val="0"/>
                    <w:spacing w:before="0" w:beforeAutospacing="0" w:after="0" w:afterAutospacing="0" w:line="260" w:lineRule="exact"/>
                    <w:ind w:left="0" w:right="0"/>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TP</w:t>
                  </w:r>
                </w:p>
                <w:p w14:paraId="46CEAAE1">
                  <w:pPr>
                    <w:keepNext w:val="0"/>
                    <w:keepLines w:val="0"/>
                    <w:suppressLineNumbers w:val="0"/>
                    <w:tabs>
                      <w:tab w:val="left" w:pos="6840"/>
                    </w:tabs>
                    <w:adjustRightInd w:val="0"/>
                    <w:snapToGrid w:val="0"/>
                    <w:spacing w:before="0" w:beforeAutospacing="0" w:after="0" w:afterAutospacing="0" w:line="260" w:lineRule="exact"/>
                    <w:ind w:left="0" w:right="0"/>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TN</w:t>
                  </w:r>
                </w:p>
              </w:tc>
              <w:tc>
                <w:tcPr>
                  <w:tcW w:w="1463" w:type="dxa"/>
                  <w:noWrap w:val="0"/>
                  <w:vAlign w:val="center"/>
                </w:tcPr>
                <w:p w14:paraId="627ECD92">
                  <w:pPr>
                    <w:keepNext w:val="0"/>
                    <w:keepLines w:val="0"/>
                    <w:suppressLineNumbers w:val="0"/>
                    <w:tabs>
                      <w:tab w:val="left" w:pos="6840"/>
                    </w:tabs>
                    <w:adjustRightInd w:val="0"/>
                    <w:snapToGrid w:val="0"/>
                    <w:spacing w:before="0" w:beforeAutospacing="0" w:after="0" w:afterAutospacing="0" w:line="260" w:lineRule="exact"/>
                    <w:ind w:left="0" w:right="0"/>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pH：6-9</w:t>
                  </w:r>
                </w:p>
                <w:p w14:paraId="56B2C59D">
                  <w:pPr>
                    <w:keepNext w:val="0"/>
                    <w:keepLines w:val="0"/>
                    <w:suppressLineNumbers w:val="0"/>
                    <w:tabs>
                      <w:tab w:val="left" w:pos="6840"/>
                    </w:tabs>
                    <w:adjustRightInd w:val="0"/>
                    <w:snapToGrid w:val="0"/>
                    <w:spacing w:before="0" w:beforeAutospacing="0" w:after="0" w:afterAutospacing="0" w:line="260" w:lineRule="exact"/>
                    <w:ind w:left="0" w:right="0"/>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CODcr：40</w:t>
                  </w:r>
                </w:p>
                <w:p w14:paraId="2AA06EF2">
                  <w:pPr>
                    <w:keepNext w:val="0"/>
                    <w:keepLines w:val="0"/>
                    <w:suppressLineNumbers w:val="0"/>
                    <w:tabs>
                      <w:tab w:val="left" w:pos="6840"/>
                    </w:tabs>
                    <w:adjustRightInd w:val="0"/>
                    <w:snapToGrid w:val="0"/>
                    <w:spacing w:before="0" w:beforeAutospacing="0" w:after="0" w:afterAutospacing="0" w:line="260" w:lineRule="exact"/>
                    <w:ind w:left="0" w:right="0"/>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BOD5：20</w:t>
                  </w:r>
                </w:p>
                <w:p w14:paraId="3E59A96B">
                  <w:pPr>
                    <w:keepNext w:val="0"/>
                    <w:keepLines w:val="0"/>
                    <w:suppressLineNumbers w:val="0"/>
                    <w:tabs>
                      <w:tab w:val="left" w:pos="6840"/>
                    </w:tabs>
                    <w:adjustRightInd w:val="0"/>
                    <w:snapToGrid w:val="0"/>
                    <w:spacing w:before="0" w:beforeAutospacing="0" w:after="0" w:afterAutospacing="0" w:line="260" w:lineRule="exact"/>
                    <w:ind w:left="0" w:right="0"/>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氨氮：10</w:t>
                  </w:r>
                </w:p>
                <w:p w14:paraId="459A25EC">
                  <w:pPr>
                    <w:keepNext w:val="0"/>
                    <w:keepLines w:val="0"/>
                    <w:suppressLineNumbers w:val="0"/>
                    <w:tabs>
                      <w:tab w:val="left" w:pos="6840"/>
                    </w:tabs>
                    <w:adjustRightInd w:val="0"/>
                    <w:snapToGrid w:val="0"/>
                    <w:spacing w:before="0" w:beforeAutospacing="0" w:after="0" w:afterAutospacing="0" w:line="260" w:lineRule="exact"/>
                    <w:ind w:left="0" w:right="0"/>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SS：20</w:t>
                  </w:r>
                </w:p>
                <w:p w14:paraId="11FAD6AB">
                  <w:pPr>
                    <w:pStyle w:val="80"/>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TP：0.2</w:t>
                  </w:r>
                </w:p>
                <w:p w14:paraId="1CE683DA">
                  <w:pPr>
                    <w:pStyle w:val="10"/>
                    <w:keepNext w:val="0"/>
                    <w:keepLines w:val="0"/>
                    <w:suppressLineNumbers w:val="0"/>
                    <w:spacing w:before="0" w:beforeAutospacing="0" w:after="0" w:afterAutospacing="0"/>
                    <w:ind w:right="0"/>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TN：15</w:t>
                  </w:r>
                </w:p>
              </w:tc>
            </w:tr>
          </w:tbl>
          <w:p w14:paraId="20689277">
            <w:pPr>
              <w:keepNext w:val="0"/>
              <w:keepLines w:val="0"/>
              <w:pageBreakBefore w:val="0"/>
              <w:widowControl w:val="0"/>
              <w:suppressLineNumbers w:val="0"/>
              <w:kinsoku/>
              <w:wordWrap/>
              <w:overflowPunct/>
              <w:topLinePunct w:val="0"/>
              <w:autoSpaceDE/>
              <w:autoSpaceDN/>
              <w:bidi w:val="0"/>
              <w:adjustRightInd/>
              <w:snapToGrid/>
              <w:spacing w:before="120" w:beforeLines="50" w:beforeAutospacing="0" w:after="0" w:afterAutospacing="0" w:line="240" w:lineRule="auto"/>
              <w:ind w:left="0" w:right="0"/>
              <w:jc w:val="center"/>
              <w:textAlignment w:val="auto"/>
              <w:rPr>
                <w:rFonts w:hint="eastAsia" w:ascii="Times New Roman" w:hAnsi="Times New Roman" w:eastAsia="宋体" w:cs="Times New Roman"/>
                <w:b/>
                <w:color w:val="auto"/>
                <w:highlight w:val="none"/>
                <w:lang w:val="en-US" w:eastAsia="zh-CN"/>
              </w:rPr>
            </w:pPr>
            <w:r>
              <w:rPr>
                <w:rFonts w:hint="eastAsia" w:ascii="Times New Roman" w:hAnsi="Times New Roman" w:eastAsia="宋体" w:cs="Times New Roman"/>
                <w:b/>
                <w:color w:val="auto"/>
                <w:highlight w:val="none"/>
                <w:lang w:val="en-US" w:eastAsia="zh-CN"/>
              </w:rPr>
              <w:t>表4</w:t>
            </w:r>
            <w:r>
              <w:rPr>
                <w:rFonts w:hint="eastAsia" w:cs="Times New Roman"/>
                <w:b/>
                <w:color w:val="auto"/>
                <w:highlight w:val="none"/>
                <w:lang w:val="en-US" w:eastAsia="zh-CN"/>
              </w:rPr>
              <w:t>-1</w:t>
            </w:r>
            <w:r>
              <w:rPr>
                <w:rFonts w:hint="eastAsia" w:ascii="Times New Roman" w:hAnsi="Times New Roman" w:eastAsia="宋体" w:cs="Times New Roman"/>
                <w:b/>
                <w:color w:val="auto"/>
                <w:highlight w:val="none"/>
                <w:lang w:val="en-US" w:eastAsia="zh-CN"/>
              </w:rPr>
              <w:t>3 生活污水排放口DW001排放标准</w:t>
            </w:r>
          </w:p>
          <w:tbl>
            <w:tblPr>
              <w:tblStyle w:val="31"/>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09"/>
              <w:gridCol w:w="972"/>
              <w:gridCol w:w="1101"/>
              <w:gridCol w:w="3171"/>
              <w:gridCol w:w="1948"/>
            </w:tblGrid>
            <w:tr w14:paraId="162DD9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609" w:type="dxa"/>
                  <w:vMerge w:val="restart"/>
                  <w:noWrap w:val="0"/>
                  <w:vAlign w:val="center"/>
                </w:tcPr>
                <w:p w14:paraId="3B9B89D6">
                  <w:pPr>
                    <w:keepNext w:val="0"/>
                    <w:keepLines w:val="0"/>
                    <w:suppressLineNumbers w:val="0"/>
                    <w:tabs>
                      <w:tab w:val="left" w:pos="6840"/>
                    </w:tabs>
                    <w:spacing w:before="0" w:beforeAutospacing="0" w:after="0" w:afterAutospacing="0" w:line="260" w:lineRule="exact"/>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序号</w:t>
                  </w:r>
                </w:p>
              </w:tc>
              <w:tc>
                <w:tcPr>
                  <w:tcW w:w="972" w:type="dxa"/>
                  <w:vMerge w:val="restart"/>
                  <w:noWrap w:val="0"/>
                  <w:vAlign w:val="center"/>
                </w:tcPr>
                <w:p w14:paraId="1B544599">
                  <w:pPr>
                    <w:keepNext w:val="0"/>
                    <w:keepLines w:val="0"/>
                    <w:suppressLineNumbers w:val="0"/>
                    <w:tabs>
                      <w:tab w:val="left" w:pos="6840"/>
                    </w:tabs>
                    <w:spacing w:before="0" w:beforeAutospacing="0" w:after="0" w:afterAutospacing="0" w:line="260" w:lineRule="exact"/>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排放口</w:t>
                  </w:r>
                </w:p>
                <w:p w14:paraId="233D5E47">
                  <w:pPr>
                    <w:keepNext w:val="0"/>
                    <w:keepLines w:val="0"/>
                    <w:suppressLineNumbers w:val="0"/>
                    <w:tabs>
                      <w:tab w:val="left" w:pos="6840"/>
                    </w:tabs>
                    <w:spacing w:before="0" w:beforeAutospacing="0" w:after="0" w:afterAutospacing="0" w:line="260" w:lineRule="exact"/>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编号</w:t>
                  </w:r>
                </w:p>
              </w:tc>
              <w:tc>
                <w:tcPr>
                  <w:tcW w:w="1101" w:type="dxa"/>
                  <w:vMerge w:val="restart"/>
                  <w:noWrap w:val="0"/>
                  <w:vAlign w:val="center"/>
                </w:tcPr>
                <w:p w14:paraId="25D6054B">
                  <w:pPr>
                    <w:keepNext w:val="0"/>
                    <w:keepLines w:val="0"/>
                    <w:suppressLineNumbers w:val="0"/>
                    <w:tabs>
                      <w:tab w:val="left" w:pos="6840"/>
                    </w:tabs>
                    <w:spacing w:before="0" w:beforeAutospacing="0" w:after="0" w:afterAutospacing="0" w:line="260" w:lineRule="exact"/>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污染物种类</w:t>
                  </w:r>
                </w:p>
              </w:tc>
              <w:tc>
                <w:tcPr>
                  <w:tcW w:w="5119" w:type="dxa"/>
                  <w:gridSpan w:val="2"/>
                  <w:noWrap w:val="0"/>
                  <w:vAlign w:val="center"/>
                </w:tcPr>
                <w:p w14:paraId="39056752">
                  <w:pPr>
                    <w:keepNext w:val="0"/>
                    <w:keepLines w:val="0"/>
                    <w:suppressLineNumbers w:val="0"/>
                    <w:tabs>
                      <w:tab w:val="left" w:pos="6840"/>
                    </w:tabs>
                    <w:spacing w:before="0" w:beforeAutospacing="0" w:after="0" w:afterAutospacing="0" w:line="260" w:lineRule="exact"/>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国家或地方污染物排放标准及其他按规定商定的排放协议</w:t>
                  </w:r>
                </w:p>
              </w:tc>
            </w:tr>
            <w:tr w14:paraId="0A5754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609" w:type="dxa"/>
                  <w:vMerge w:val="continue"/>
                  <w:noWrap w:val="0"/>
                  <w:vAlign w:val="center"/>
                </w:tcPr>
                <w:p w14:paraId="4088540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highlight w:val="none"/>
                    </w:rPr>
                  </w:pPr>
                </w:p>
              </w:tc>
              <w:tc>
                <w:tcPr>
                  <w:tcW w:w="972" w:type="dxa"/>
                  <w:vMerge w:val="continue"/>
                  <w:noWrap w:val="0"/>
                  <w:vAlign w:val="center"/>
                </w:tcPr>
                <w:p w14:paraId="1AFA024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highlight w:val="none"/>
                    </w:rPr>
                  </w:pPr>
                </w:p>
              </w:tc>
              <w:tc>
                <w:tcPr>
                  <w:tcW w:w="1101" w:type="dxa"/>
                  <w:vMerge w:val="continue"/>
                  <w:noWrap w:val="0"/>
                  <w:vAlign w:val="center"/>
                </w:tcPr>
                <w:p w14:paraId="1E4CEAE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highlight w:val="none"/>
                    </w:rPr>
                  </w:pPr>
                </w:p>
              </w:tc>
              <w:tc>
                <w:tcPr>
                  <w:tcW w:w="3171" w:type="dxa"/>
                  <w:noWrap w:val="0"/>
                  <w:vAlign w:val="center"/>
                </w:tcPr>
                <w:p w14:paraId="21029A24">
                  <w:pPr>
                    <w:keepNext w:val="0"/>
                    <w:keepLines w:val="0"/>
                    <w:suppressLineNumbers w:val="0"/>
                    <w:tabs>
                      <w:tab w:val="left" w:pos="6840"/>
                    </w:tabs>
                    <w:adjustRightInd w:val="0"/>
                    <w:snapToGrid w:val="0"/>
                    <w:spacing w:before="0" w:beforeAutospacing="0" w:after="0" w:afterAutospacing="0" w:line="260" w:lineRule="exact"/>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名称</w:t>
                  </w:r>
                </w:p>
              </w:tc>
              <w:tc>
                <w:tcPr>
                  <w:tcW w:w="1948" w:type="dxa"/>
                  <w:noWrap w:val="0"/>
                  <w:vAlign w:val="center"/>
                </w:tcPr>
                <w:p w14:paraId="1B70BF9D">
                  <w:pPr>
                    <w:keepNext w:val="0"/>
                    <w:keepLines w:val="0"/>
                    <w:suppressLineNumbers w:val="0"/>
                    <w:tabs>
                      <w:tab w:val="left" w:pos="6840"/>
                    </w:tabs>
                    <w:adjustRightInd w:val="0"/>
                    <w:snapToGrid w:val="0"/>
                    <w:spacing w:before="0" w:beforeAutospacing="0" w:after="0" w:afterAutospacing="0" w:line="260" w:lineRule="exact"/>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浓度限值/（mg/L）</w:t>
                  </w:r>
                </w:p>
              </w:tc>
            </w:tr>
            <w:tr w14:paraId="101D13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609" w:type="dxa"/>
                  <w:vMerge w:val="restart"/>
                  <w:noWrap w:val="0"/>
                  <w:vAlign w:val="center"/>
                </w:tcPr>
                <w:p w14:paraId="756CBE77">
                  <w:pPr>
                    <w:keepNext w:val="0"/>
                    <w:keepLines w:val="0"/>
                    <w:suppressLineNumbers w:val="0"/>
                    <w:tabs>
                      <w:tab w:val="left" w:pos="6840"/>
                    </w:tabs>
                    <w:spacing w:before="0" w:beforeAutospacing="0" w:after="0" w:afterAutospacing="0" w:line="260" w:lineRule="exact"/>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972" w:type="dxa"/>
                  <w:vMerge w:val="restart"/>
                  <w:noWrap w:val="0"/>
                  <w:vAlign w:val="center"/>
                </w:tcPr>
                <w:p w14:paraId="765156C6">
                  <w:pPr>
                    <w:keepNext w:val="0"/>
                    <w:keepLines w:val="0"/>
                    <w:suppressLineNumbers w:val="0"/>
                    <w:tabs>
                      <w:tab w:val="left" w:pos="6840"/>
                    </w:tabs>
                    <w:spacing w:before="0" w:beforeAutospacing="0" w:after="0" w:afterAutospacing="0" w:line="260" w:lineRule="exact"/>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DW001</w:t>
                  </w:r>
                </w:p>
              </w:tc>
              <w:tc>
                <w:tcPr>
                  <w:tcW w:w="1101" w:type="dxa"/>
                  <w:noWrap w:val="0"/>
                  <w:vAlign w:val="center"/>
                </w:tcPr>
                <w:p w14:paraId="36CC6B4D">
                  <w:pPr>
                    <w:keepNext w:val="0"/>
                    <w:keepLines w:val="0"/>
                    <w:suppressLineNumbers w:val="0"/>
                    <w:tabs>
                      <w:tab w:val="left" w:pos="6840"/>
                    </w:tabs>
                    <w:spacing w:before="0" w:beforeAutospacing="0" w:after="0" w:afterAutospacing="0" w:line="260" w:lineRule="exact"/>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COD</w:t>
                  </w:r>
                </w:p>
              </w:tc>
              <w:tc>
                <w:tcPr>
                  <w:tcW w:w="3171" w:type="dxa"/>
                  <w:vMerge w:val="restart"/>
                  <w:noWrap w:val="0"/>
                  <w:vAlign w:val="center"/>
                </w:tcPr>
                <w:p w14:paraId="2203FB1D">
                  <w:pPr>
                    <w:keepNext w:val="0"/>
                    <w:keepLines w:val="0"/>
                    <w:suppressLineNumbers w:val="0"/>
                    <w:tabs>
                      <w:tab w:val="left" w:pos="6840"/>
                    </w:tabs>
                    <w:adjustRightInd w:val="0"/>
                    <w:snapToGrid w:val="0"/>
                    <w:spacing w:before="0" w:beforeAutospacing="0" w:after="0" w:afterAutospacing="0" w:line="260" w:lineRule="exact"/>
                    <w:ind w:left="0" w:right="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广东省《水污染物排放限值》(DB44/26-2001)第二时段三级标准和广东阳东经济开发区污水处理厂设计进水水质要求两者的较严值</w:t>
                  </w:r>
                </w:p>
              </w:tc>
              <w:tc>
                <w:tcPr>
                  <w:tcW w:w="1948" w:type="dxa"/>
                  <w:noWrap w:val="0"/>
                  <w:vAlign w:val="center"/>
                </w:tcPr>
                <w:p w14:paraId="4A5B0295">
                  <w:pPr>
                    <w:keepNext w:val="0"/>
                    <w:keepLines w:val="0"/>
                    <w:suppressLineNumbers w:val="0"/>
                    <w:tabs>
                      <w:tab w:val="left" w:pos="6840"/>
                    </w:tabs>
                    <w:spacing w:before="0" w:beforeAutospacing="0" w:after="0" w:afterAutospacing="0" w:line="260" w:lineRule="exact"/>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450</w:t>
                  </w:r>
                </w:p>
              </w:tc>
            </w:tr>
            <w:tr w14:paraId="421C2B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609" w:type="dxa"/>
                  <w:vMerge w:val="continue"/>
                  <w:noWrap w:val="0"/>
                  <w:vAlign w:val="center"/>
                </w:tcPr>
                <w:p w14:paraId="51BB2F0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z w:val="21"/>
                      <w:szCs w:val="21"/>
                      <w:highlight w:val="none"/>
                    </w:rPr>
                  </w:pPr>
                </w:p>
              </w:tc>
              <w:tc>
                <w:tcPr>
                  <w:tcW w:w="972" w:type="dxa"/>
                  <w:vMerge w:val="continue"/>
                  <w:noWrap w:val="0"/>
                  <w:vAlign w:val="center"/>
                </w:tcPr>
                <w:p w14:paraId="6535B59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z w:val="21"/>
                      <w:szCs w:val="21"/>
                      <w:highlight w:val="none"/>
                    </w:rPr>
                  </w:pPr>
                </w:p>
              </w:tc>
              <w:tc>
                <w:tcPr>
                  <w:tcW w:w="1101" w:type="dxa"/>
                  <w:noWrap w:val="0"/>
                  <w:vAlign w:val="center"/>
                </w:tcPr>
                <w:p w14:paraId="56EE1113">
                  <w:pPr>
                    <w:keepNext w:val="0"/>
                    <w:keepLines w:val="0"/>
                    <w:suppressLineNumbers w:val="0"/>
                    <w:tabs>
                      <w:tab w:val="left" w:pos="6840"/>
                    </w:tabs>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BOD</w:t>
                  </w:r>
                  <w:r>
                    <w:rPr>
                      <w:rFonts w:hint="default" w:ascii="Times New Roman" w:hAnsi="Times New Roman" w:eastAsia="宋体" w:cs="Times New Roman"/>
                      <w:color w:val="auto"/>
                      <w:sz w:val="21"/>
                      <w:szCs w:val="21"/>
                      <w:highlight w:val="none"/>
                      <w:vertAlign w:val="subscript"/>
                    </w:rPr>
                    <w:t>5</w:t>
                  </w:r>
                </w:p>
              </w:tc>
              <w:tc>
                <w:tcPr>
                  <w:tcW w:w="3171" w:type="dxa"/>
                  <w:vMerge w:val="continue"/>
                  <w:noWrap w:val="0"/>
                  <w:vAlign w:val="center"/>
                </w:tcPr>
                <w:p w14:paraId="660A267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z w:val="21"/>
                      <w:szCs w:val="21"/>
                      <w:highlight w:val="none"/>
                    </w:rPr>
                  </w:pPr>
                </w:p>
              </w:tc>
              <w:tc>
                <w:tcPr>
                  <w:tcW w:w="1948" w:type="dxa"/>
                  <w:noWrap w:val="0"/>
                  <w:vAlign w:val="center"/>
                </w:tcPr>
                <w:p w14:paraId="7FF6AD98">
                  <w:pPr>
                    <w:keepNext w:val="0"/>
                    <w:keepLines w:val="0"/>
                    <w:suppressLineNumbers w:val="0"/>
                    <w:tabs>
                      <w:tab w:val="left" w:pos="6840"/>
                    </w:tabs>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250</w:t>
                  </w:r>
                </w:p>
              </w:tc>
            </w:tr>
            <w:tr w14:paraId="6CFA4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609" w:type="dxa"/>
                  <w:vMerge w:val="continue"/>
                  <w:noWrap w:val="0"/>
                  <w:vAlign w:val="center"/>
                </w:tcPr>
                <w:p w14:paraId="0D21CCE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z w:val="21"/>
                      <w:szCs w:val="21"/>
                      <w:highlight w:val="none"/>
                    </w:rPr>
                  </w:pPr>
                </w:p>
              </w:tc>
              <w:tc>
                <w:tcPr>
                  <w:tcW w:w="972" w:type="dxa"/>
                  <w:vMerge w:val="continue"/>
                  <w:noWrap w:val="0"/>
                  <w:vAlign w:val="center"/>
                </w:tcPr>
                <w:p w14:paraId="7F0EA34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z w:val="21"/>
                      <w:szCs w:val="21"/>
                      <w:highlight w:val="none"/>
                    </w:rPr>
                  </w:pPr>
                </w:p>
              </w:tc>
              <w:tc>
                <w:tcPr>
                  <w:tcW w:w="1101" w:type="dxa"/>
                  <w:noWrap w:val="0"/>
                  <w:vAlign w:val="center"/>
                </w:tcPr>
                <w:p w14:paraId="727DBD4B">
                  <w:pPr>
                    <w:keepNext w:val="0"/>
                    <w:keepLines w:val="0"/>
                    <w:suppressLineNumbers w:val="0"/>
                    <w:tabs>
                      <w:tab w:val="left" w:pos="6840"/>
                    </w:tabs>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SS</w:t>
                  </w:r>
                </w:p>
              </w:tc>
              <w:tc>
                <w:tcPr>
                  <w:tcW w:w="3171" w:type="dxa"/>
                  <w:vMerge w:val="continue"/>
                  <w:noWrap w:val="0"/>
                  <w:vAlign w:val="center"/>
                </w:tcPr>
                <w:p w14:paraId="40DFD43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z w:val="21"/>
                      <w:szCs w:val="21"/>
                      <w:highlight w:val="none"/>
                    </w:rPr>
                  </w:pPr>
                </w:p>
              </w:tc>
              <w:tc>
                <w:tcPr>
                  <w:tcW w:w="1948" w:type="dxa"/>
                  <w:noWrap w:val="0"/>
                  <w:vAlign w:val="center"/>
                </w:tcPr>
                <w:p w14:paraId="2B52E6C3">
                  <w:pPr>
                    <w:keepNext w:val="0"/>
                    <w:keepLines w:val="0"/>
                    <w:suppressLineNumbers w:val="0"/>
                    <w:tabs>
                      <w:tab w:val="left" w:pos="6840"/>
                    </w:tabs>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300</w:t>
                  </w:r>
                </w:p>
              </w:tc>
            </w:tr>
            <w:tr w14:paraId="4829D0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609" w:type="dxa"/>
                  <w:vMerge w:val="continue"/>
                  <w:noWrap w:val="0"/>
                  <w:vAlign w:val="center"/>
                </w:tcPr>
                <w:p w14:paraId="650D180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z w:val="21"/>
                      <w:szCs w:val="21"/>
                      <w:highlight w:val="none"/>
                    </w:rPr>
                  </w:pPr>
                </w:p>
              </w:tc>
              <w:tc>
                <w:tcPr>
                  <w:tcW w:w="972" w:type="dxa"/>
                  <w:vMerge w:val="continue"/>
                  <w:noWrap w:val="0"/>
                  <w:vAlign w:val="center"/>
                </w:tcPr>
                <w:p w14:paraId="3FA9300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z w:val="21"/>
                      <w:szCs w:val="21"/>
                      <w:highlight w:val="none"/>
                    </w:rPr>
                  </w:pPr>
                </w:p>
              </w:tc>
              <w:tc>
                <w:tcPr>
                  <w:tcW w:w="1101" w:type="dxa"/>
                  <w:noWrap w:val="0"/>
                  <w:vAlign w:val="center"/>
                </w:tcPr>
                <w:p w14:paraId="1683CC6B">
                  <w:pPr>
                    <w:keepNext w:val="0"/>
                    <w:keepLines w:val="0"/>
                    <w:suppressLineNumbers w:val="0"/>
                    <w:tabs>
                      <w:tab w:val="left" w:pos="6840"/>
                    </w:tabs>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氨氮</w:t>
                  </w:r>
                </w:p>
              </w:tc>
              <w:tc>
                <w:tcPr>
                  <w:tcW w:w="3171" w:type="dxa"/>
                  <w:vMerge w:val="continue"/>
                  <w:noWrap w:val="0"/>
                  <w:vAlign w:val="center"/>
                </w:tcPr>
                <w:p w14:paraId="70B4E90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z w:val="21"/>
                      <w:szCs w:val="21"/>
                      <w:highlight w:val="none"/>
                    </w:rPr>
                  </w:pPr>
                </w:p>
              </w:tc>
              <w:tc>
                <w:tcPr>
                  <w:tcW w:w="1948" w:type="dxa"/>
                  <w:noWrap w:val="0"/>
                  <w:vAlign w:val="center"/>
                </w:tcPr>
                <w:p w14:paraId="288B45B4">
                  <w:pPr>
                    <w:keepNext w:val="0"/>
                    <w:keepLines w:val="0"/>
                    <w:suppressLineNumbers w:val="0"/>
                    <w:tabs>
                      <w:tab w:val="left" w:pos="6840"/>
                    </w:tabs>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25</w:t>
                  </w:r>
                </w:p>
              </w:tc>
            </w:tr>
            <w:tr w14:paraId="3FA48B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609" w:type="dxa"/>
                  <w:vMerge w:val="continue"/>
                  <w:noWrap w:val="0"/>
                  <w:vAlign w:val="center"/>
                </w:tcPr>
                <w:p w14:paraId="13714CD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z w:val="21"/>
                      <w:szCs w:val="21"/>
                      <w:highlight w:val="none"/>
                    </w:rPr>
                  </w:pPr>
                </w:p>
              </w:tc>
              <w:tc>
                <w:tcPr>
                  <w:tcW w:w="972" w:type="dxa"/>
                  <w:vMerge w:val="continue"/>
                  <w:noWrap w:val="0"/>
                  <w:vAlign w:val="center"/>
                </w:tcPr>
                <w:p w14:paraId="27047E2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z w:val="21"/>
                      <w:szCs w:val="21"/>
                      <w:highlight w:val="none"/>
                    </w:rPr>
                  </w:pPr>
                </w:p>
              </w:tc>
              <w:tc>
                <w:tcPr>
                  <w:tcW w:w="1101" w:type="dxa"/>
                  <w:noWrap w:val="0"/>
                  <w:vAlign w:val="center"/>
                </w:tcPr>
                <w:p w14:paraId="6DC33E6D">
                  <w:pPr>
                    <w:keepNext w:val="0"/>
                    <w:keepLines w:val="0"/>
                    <w:suppressLineNumbers w:val="0"/>
                    <w:tabs>
                      <w:tab w:val="left" w:pos="6840"/>
                    </w:tabs>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TP</w:t>
                  </w:r>
                </w:p>
              </w:tc>
              <w:tc>
                <w:tcPr>
                  <w:tcW w:w="3171" w:type="dxa"/>
                  <w:vMerge w:val="continue"/>
                  <w:noWrap w:val="0"/>
                  <w:vAlign w:val="center"/>
                </w:tcPr>
                <w:p w14:paraId="44AAF8F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z w:val="21"/>
                      <w:szCs w:val="21"/>
                      <w:highlight w:val="none"/>
                    </w:rPr>
                  </w:pPr>
                </w:p>
              </w:tc>
              <w:tc>
                <w:tcPr>
                  <w:tcW w:w="1948" w:type="dxa"/>
                  <w:noWrap w:val="0"/>
                  <w:vAlign w:val="center"/>
                </w:tcPr>
                <w:p w14:paraId="4DE66B0E">
                  <w:pPr>
                    <w:keepNext w:val="0"/>
                    <w:keepLines w:val="0"/>
                    <w:suppressLineNumbers w:val="0"/>
                    <w:tabs>
                      <w:tab w:val="left" w:pos="6840"/>
                    </w:tabs>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w:t>
                  </w:r>
                </w:p>
              </w:tc>
            </w:tr>
            <w:tr w14:paraId="7D1D94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609" w:type="dxa"/>
                  <w:vMerge w:val="continue"/>
                  <w:noWrap w:val="0"/>
                  <w:vAlign w:val="center"/>
                </w:tcPr>
                <w:p w14:paraId="5BDC537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z w:val="21"/>
                      <w:szCs w:val="21"/>
                      <w:highlight w:val="none"/>
                    </w:rPr>
                  </w:pPr>
                </w:p>
              </w:tc>
              <w:tc>
                <w:tcPr>
                  <w:tcW w:w="972" w:type="dxa"/>
                  <w:vMerge w:val="continue"/>
                  <w:noWrap w:val="0"/>
                  <w:vAlign w:val="center"/>
                </w:tcPr>
                <w:p w14:paraId="1835E20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z w:val="21"/>
                      <w:szCs w:val="21"/>
                      <w:highlight w:val="none"/>
                    </w:rPr>
                  </w:pPr>
                </w:p>
              </w:tc>
              <w:tc>
                <w:tcPr>
                  <w:tcW w:w="1101" w:type="dxa"/>
                  <w:noWrap w:val="0"/>
                  <w:vAlign w:val="center"/>
                </w:tcPr>
                <w:p w14:paraId="69AAA315">
                  <w:pPr>
                    <w:keepNext w:val="0"/>
                    <w:keepLines w:val="0"/>
                    <w:suppressLineNumbers w:val="0"/>
                    <w:tabs>
                      <w:tab w:val="left" w:pos="6840"/>
                    </w:tabs>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TN</w:t>
                  </w:r>
                </w:p>
              </w:tc>
              <w:tc>
                <w:tcPr>
                  <w:tcW w:w="3171" w:type="dxa"/>
                  <w:vMerge w:val="continue"/>
                  <w:noWrap w:val="0"/>
                  <w:vAlign w:val="center"/>
                </w:tcPr>
                <w:p w14:paraId="77B1C4A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z w:val="21"/>
                      <w:szCs w:val="21"/>
                      <w:highlight w:val="none"/>
                    </w:rPr>
                  </w:pPr>
                </w:p>
              </w:tc>
              <w:tc>
                <w:tcPr>
                  <w:tcW w:w="1948" w:type="dxa"/>
                  <w:noWrap w:val="0"/>
                  <w:vAlign w:val="center"/>
                </w:tcPr>
                <w:p w14:paraId="6690CB85">
                  <w:pPr>
                    <w:keepNext w:val="0"/>
                    <w:keepLines w:val="0"/>
                    <w:suppressLineNumbers w:val="0"/>
                    <w:tabs>
                      <w:tab w:val="left" w:pos="6840"/>
                    </w:tabs>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35</w:t>
                  </w:r>
                </w:p>
              </w:tc>
            </w:tr>
          </w:tbl>
          <w:p w14:paraId="6F3E1DF6">
            <w:pPr>
              <w:keepNext w:val="0"/>
              <w:keepLines w:val="0"/>
              <w:pageBreakBefore w:val="0"/>
              <w:widowControl w:val="0"/>
              <w:suppressLineNumbers w:val="0"/>
              <w:kinsoku/>
              <w:wordWrap/>
              <w:overflowPunct/>
              <w:topLinePunct w:val="0"/>
              <w:autoSpaceDE/>
              <w:autoSpaceDN/>
              <w:bidi w:val="0"/>
              <w:adjustRightInd/>
              <w:snapToGrid/>
              <w:spacing w:before="120" w:beforeLines="50" w:beforeAutospacing="0" w:after="0" w:afterAutospacing="0" w:line="240" w:lineRule="auto"/>
              <w:ind w:left="0" w:right="0"/>
              <w:jc w:val="left"/>
              <w:textAlignment w:val="auto"/>
              <w:rPr>
                <w:rFonts w:hint="eastAsia" w:ascii="Times New Roman" w:hAnsi="Times New Roman" w:eastAsia="宋体" w:cs="Times New Roman"/>
                <w:b/>
                <w:color w:val="auto"/>
                <w:highlight w:val="none"/>
                <w:lang w:val="en-US" w:eastAsia="zh-CN"/>
              </w:rPr>
            </w:pPr>
            <w:r>
              <w:rPr>
                <w:rFonts w:hint="eastAsia" w:ascii="Times New Roman" w:hAnsi="Times New Roman" w:eastAsia="宋体" w:cs="Times New Roman"/>
                <w:b/>
                <w:color w:val="auto"/>
                <w:highlight w:val="none"/>
                <w:lang w:val="en-US" w:eastAsia="zh-CN"/>
              </w:rPr>
              <w:t xml:space="preserve">    </w:t>
            </w:r>
          </w:p>
          <w:p w14:paraId="7244AFFE">
            <w:pPr>
              <w:keepNext w:val="0"/>
              <w:keepLines w:val="0"/>
              <w:pageBreakBefore w:val="0"/>
              <w:widowControl w:val="0"/>
              <w:suppressLineNumbers w:val="0"/>
              <w:kinsoku/>
              <w:wordWrap/>
              <w:overflowPunct/>
              <w:topLinePunct w:val="0"/>
              <w:autoSpaceDE/>
              <w:autoSpaceDN/>
              <w:bidi w:val="0"/>
              <w:adjustRightInd/>
              <w:snapToGrid/>
              <w:spacing w:before="120" w:beforeLines="50" w:beforeAutospacing="0" w:after="0" w:afterAutospacing="0" w:line="240" w:lineRule="auto"/>
              <w:ind w:left="0" w:right="0" w:firstLine="482" w:firstLineChars="200"/>
              <w:jc w:val="left"/>
              <w:textAlignment w:val="auto"/>
              <w:rPr>
                <w:rFonts w:hint="default" w:ascii="Times New Roman" w:hAnsi="Times New Roman" w:eastAsia="宋体" w:cs="Times New Roman"/>
                <w:b/>
                <w:color w:val="auto"/>
                <w:highlight w:val="none"/>
                <w:lang w:val="en-US" w:eastAsia="zh-CN"/>
              </w:rPr>
            </w:pPr>
            <w:r>
              <w:rPr>
                <w:rFonts w:hint="eastAsia" w:ascii="Times New Roman" w:hAnsi="Times New Roman" w:eastAsia="宋体" w:cs="Times New Roman"/>
                <w:b/>
                <w:color w:val="auto"/>
                <w:sz w:val="24"/>
                <w:szCs w:val="24"/>
                <w:highlight w:val="none"/>
                <w:lang w:val="en-US" w:eastAsia="zh-CN"/>
              </w:rPr>
              <w:t>3、自行监测要求</w:t>
            </w:r>
          </w:p>
          <w:p w14:paraId="38C5DB89">
            <w:pPr>
              <w:pStyle w:val="81"/>
              <w:suppressLineNumbers w:val="0"/>
              <w:spacing w:beforeAutospacing="0" w:afterAutospacing="0"/>
              <w:ind w:left="0" w:leftChars="0" w:right="0" w:firstLine="0" w:firstLineChars="0"/>
              <w:jc w:val="both"/>
              <w:rPr>
                <w:rFonts w:hint="eastAsia" w:ascii="Times New Roman" w:eastAsia="宋体" w:cs="Times New Roman"/>
                <w:b w:val="0"/>
                <w:bCs w:val="0"/>
                <w:color w:val="auto"/>
                <w:sz w:val="24"/>
                <w:szCs w:val="24"/>
                <w:highlight w:val="none"/>
                <w:lang w:val="en-US" w:eastAsia="zh-CN"/>
              </w:rPr>
            </w:pPr>
            <w:r>
              <w:rPr>
                <w:rFonts w:hint="eastAsia" w:ascii="Times New Roman" w:eastAsia="宋体" w:cs="Times New Roman"/>
                <w:b w:val="0"/>
                <w:bCs w:val="0"/>
                <w:color w:val="auto"/>
                <w:sz w:val="24"/>
                <w:szCs w:val="24"/>
                <w:highlight w:val="none"/>
                <w:lang w:val="en-US" w:eastAsia="zh-CN"/>
              </w:rPr>
              <w:t xml:space="preserve">   项目无生产性废水排放，排放的污水类型为生活污水，预处理后排入市政污水管网。根据《排污许可证申请与核发技术规范印刷工业》（HJ1066）7.3.4废水监测点位、指标及频次“单独排入城镇集中污水处理设施的生活污水不需监测。”同时，参照《排污单位自行监测技术指南 印刷工业》（HJ1246-2022)表，如下</w:t>
            </w:r>
          </w:p>
          <w:p w14:paraId="7353394F">
            <w:pPr>
              <w:pStyle w:val="64"/>
              <w:keepNext w:val="0"/>
              <w:keepLines w:val="0"/>
              <w:widowControl/>
              <w:suppressLineNumbers w:val="0"/>
              <w:spacing w:beforeAutospacing="0" w:afterAutospacing="0"/>
              <w:ind w:left="0" w:right="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drawing>
                <wp:inline distT="0" distB="0" distL="114300" distR="114300">
                  <wp:extent cx="4959350" cy="1419225"/>
                  <wp:effectExtent l="0" t="0" r="6350" b="3175"/>
                  <wp:docPr id="111" name="图片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357"/>
                          <pic:cNvPicPr>
                            <a:picLocks noChangeAspect="1"/>
                          </pic:cNvPicPr>
                        </pic:nvPicPr>
                        <pic:blipFill>
                          <a:blip r:embed="rId19"/>
                          <a:stretch>
                            <a:fillRect/>
                          </a:stretch>
                        </pic:blipFill>
                        <pic:spPr>
                          <a:xfrm>
                            <a:off x="0" y="0"/>
                            <a:ext cx="4959350" cy="1419225"/>
                          </a:xfrm>
                          <a:prstGeom prst="rect">
                            <a:avLst/>
                          </a:prstGeom>
                          <a:noFill/>
                          <a:ln>
                            <a:noFill/>
                          </a:ln>
                        </pic:spPr>
                      </pic:pic>
                    </a:graphicData>
                  </a:graphic>
                </wp:inline>
              </w:drawing>
            </w:r>
          </w:p>
          <w:p w14:paraId="6083919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highlight w:val="none"/>
                <w:lang w:val="en-US" w:eastAsia="zh-CN"/>
              </w:rPr>
            </w:pPr>
            <w:r>
              <w:rPr>
                <w:rFonts w:hint="eastAsia" w:ascii="Times New Roman" w:hAnsi="Times New Roman" w:cs="Times New Roman"/>
                <w:b/>
                <w:bCs/>
                <w:color w:val="auto"/>
                <w:highlight w:val="none"/>
                <w:lang w:val="en-US" w:eastAsia="zh-CN"/>
              </w:rPr>
              <w:t>图</w:t>
            </w:r>
            <w:r>
              <w:rPr>
                <w:rFonts w:hint="eastAsia" w:cs="Times New Roman"/>
                <w:b/>
                <w:bCs/>
                <w:color w:val="auto"/>
                <w:highlight w:val="none"/>
                <w:lang w:val="en-US" w:eastAsia="zh-CN"/>
              </w:rPr>
              <w:t>4-5</w:t>
            </w:r>
            <w:r>
              <w:rPr>
                <w:rFonts w:hint="eastAsia" w:ascii="Times New Roman" w:hAnsi="Times New Roman" w:cs="Times New Roman"/>
                <w:b/>
                <w:bCs/>
                <w:color w:val="auto"/>
                <w:highlight w:val="none"/>
                <w:lang w:val="en-US" w:eastAsia="zh-CN"/>
              </w:rPr>
              <w:t xml:space="preserve"> 自行监测技术指南截图</w:t>
            </w:r>
          </w:p>
          <w:p w14:paraId="139792F9">
            <w:pPr>
              <w:pStyle w:val="27"/>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leftChars="0" w:right="0" w:firstLine="420" w:firstLineChars="175"/>
              <w:textAlignment w:val="auto"/>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 xml:space="preserve">  因此，本项目的生活污水间接排放至</w:t>
            </w:r>
            <w:r>
              <w:rPr>
                <w:rFonts w:hint="default" w:ascii="Times New Roman" w:hAnsi="Times New Roman" w:eastAsia="宋体" w:cs="Times New Roman"/>
                <w:color w:val="auto"/>
                <w:kern w:val="0"/>
                <w:sz w:val="24"/>
                <w:szCs w:val="24"/>
                <w:highlight w:val="none"/>
                <w:lang w:val="en-US" w:eastAsia="zh-CN" w:bidi="ar"/>
              </w:rPr>
              <w:t>广东阳东经济开发区污水处理厂</w:t>
            </w:r>
            <w:r>
              <w:rPr>
                <w:rFonts w:hint="eastAsia" w:eastAsia="宋体" w:cs="Times New Roman"/>
                <w:color w:val="auto"/>
                <w:kern w:val="0"/>
                <w:sz w:val="24"/>
                <w:szCs w:val="24"/>
                <w:highlight w:val="none"/>
                <w:lang w:val="en-US" w:eastAsia="zh-CN" w:bidi="ar"/>
              </w:rPr>
              <w:t>，</w:t>
            </w:r>
            <w:r>
              <w:rPr>
                <w:rFonts w:hint="eastAsia" w:cs="Times New Roman"/>
                <w:color w:val="auto"/>
                <w:sz w:val="24"/>
                <w:szCs w:val="24"/>
                <w:highlight w:val="none"/>
                <w:lang w:val="en-US" w:eastAsia="zh-CN"/>
              </w:rPr>
              <w:t>无需开展监测。</w:t>
            </w:r>
          </w:p>
          <w:p w14:paraId="139C52FF">
            <w:pPr>
              <w:keepNext w:val="0"/>
              <w:keepLines w:val="0"/>
              <w:suppressLineNumbers w:val="0"/>
              <w:spacing w:before="0" w:beforeAutospacing="0" w:after="0" w:afterAutospacing="0"/>
              <w:ind w:left="0" w:right="0"/>
              <w:rPr>
                <w:rFonts w:hint="eastAsia" w:ascii="Times New Roman" w:hAnsi="Times New Roman" w:cs="Times New Roman"/>
                <w:color w:val="auto"/>
                <w:highlight w:val="none"/>
                <w:lang w:val="en-US" w:eastAsia="zh-CN"/>
              </w:rPr>
            </w:pPr>
          </w:p>
          <w:p w14:paraId="55546EF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420" w:leftChars="200" w:right="0"/>
              <w:textAlignment w:val="auto"/>
              <w:rPr>
                <w:rFonts w:hint="eastAsia" w:ascii="Times New Roman" w:hAnsi="Times New Roman" w:eastAsia="宋体" w:cs="Times New Roman"/>
                <w:b/>
                <w:color w:val="auto"/>
                <w:sz w:val="24"/>
                <w:szCs w:val="24"/>
                <w:highlight w:val="none"/>
                <w:lang w:val="en-US" w:eastAsia="zh-CN"/>
              </w:rPr>
            </w:pPr>
            <w:r>
              <w:rPr>
                <w:rFonts w:hint="eastAsia" w:ascii="Times New Roman" w:hAnsi="Times New Roman" w:eastAsia="宋体" w:cs="Times New Roman"/>
                <w:b/>
                <w:color w:val="auto"/>
                <w:sz w:val="24"/>
                <w:szCs w:val="24"/>
                <w:highlight w:val="none"/>
                <w:lang w:val="en-US" w:eastAsia="zh-CN"/>
              </w:rPr>
              <w:t>4、达标排放情况</w:t>
            </w:r>
          </w:p>
          <w:p w14:paraId="37D6ED7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175"/>
              <w:textAlignment w:val="auto"/>
              <w:rPr>
                <w:rFonts w:hint="eastAsia" w:ascii="Times New Roman" w:hAnsi="Times New Roman" w:eastAsia="宋体" w:cs="Times New Roman"/>
                <w:b w:val="0"/>
                <w:bCs/>
                <w:color w:val="auto"/>
                <w:sz w:val="24"/>
                <w:szCs w:val="24"/>
                <w:highlight w:val="none"/>
                <w:lang w:val="en-US" w:eastAsia="zh-CN"/>
              </w:rPr>
            </w:pPr>
            <w:r>
              <w:rPr>
                <w:rFonts w:hint="eastAsia" w:ascii="Times New Roman" w:hAnsi="Times New Roman" w:eastAsia="宋体" w:cs="Times New Roman"/>
                <w:b w:val="0"/>
                <w:bCs/>
                <w:color w:val="auto"/>
                <w:sz w:val="24"/>
                <w:szCs w:val="24"/>
                <w:highlight w:val="none"/>
                <w:lang w:val="en-US" w:eastAsia="zh-CN"/>
              </w:rPr>
              <w:t>根据前文的源强分析生活污水排放口的排放浓度与排放标准对比如下：</w:t>
            </w:r>
          </w:p>
          <w:p w14:paraId="4880675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420" w:leftChars="200" w:right="0"/>
              <w:jc w:val="center"/>
              <w:textAlignment w:val="auto"/>
              <w:rPr>
                <w:rFonts w:hint="eastAsia" w:ascii="Times New Roman" w:hAnsi="Times New Roman" w:eastAsia="宋体" w:cs="Times New Roman"/>
                <w:b/>
                <w:bCs w:val="0"/>
                <w:color w:val="auto"/>
                <w:sz w:val="21"/>
                <w:szCs w:val="21"/>
                <w:highlight w:val="none"/>
                <w:lang w:val="en-US" w:eastAsia="zh-CN"/>
              </w:rPr>
            </w:pPr>
            <w:r>
              <w:rPr>
                <w:rFonts w:hint="eastAsia" w:ascii="Times New Roman" w:hAnsi="Times New Roman" w:eastAsia="宋体" w:cs="Times New Roman"/>
                <w:b/>
                <w:bCs w:val="0"/>
                <w:color w:val="auto"/>
                <w:sz w:val="21"/>
                <w:szCs w:val="21"/>
                <w:highlight w:val="none"/>
                <w:lang w:val="en-US" w:eastAsia="zh-CN"/>
              </w:rPr>
              <w:t>表4</w:t>
            </w:r>
            <w:r>
              <w:rPr>
                <w:rFonts w:hint="eastAsia" w:cs="Times New Roman"/>
                <w:b/>
                <w:bCs w:val="0"/>
                <w:color w:val="auto"/>
                <w:sz w:val="21"/>
                <w:szCs w:val="21"/>
                <w:highlight w:val="none"/>
                <w:lang w:val="en-US" w:eastAsia="zh-CN"/>
              </w:rPr>
              <w:t>-1</w:t>
            </w:r>
            <w:r>
              <w:rPr>
                <w:rFonts w:hint="eastAsia" w:ascii="Times New Roman" w:hAnsi="Times New Roman" w:eastAsia="宋体" w:cs="Times New Roman"/>
                <w:b/>
                <w:bCs w:val="0"/>
                <w:color w:val="auto"/>
                <w:sz w:val="21"/>
                <w:szCs w:val="21"/>
                <w:highlight w:val="none"/>
                <w:lang w:val="en-US" w:eastAsia="zh-CN"/>
              </w:rPr>
              <w:t>4 生活污水排放口达标分析一览表</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6"/>
              <w:gridCol w:w="1556"/>
              <w:gridCol w:w="1556"/>
              <w:gridCol w:w="1809"/>
              <w:gridCol w:w="1303"/>
            </w:tblGrid>
            <w:tr w14:paraId="192C6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1556" w:type="dxa"/>
                  <w:noWrap w:val="0"/>
                  <w:vAlign w:val="center"/>
                </w:tcPr>
                <w:p w14:paraId="77594FA0">
                  <w:pPr>
                    <w:keepNext w:val="0"/>
                    <w:keepLines w:val="0"/>
                    <w:numPr>
                      <w:ilvl w:val="0"/>
                      <w:numId w:val="0"/>
                    </w:numPr>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highlight w:val="none"/>
                      <w:vertAlign w:val="baseline"/>
                      <w:lang w:val="en-US" w:eastAsia="zh-CN"/>
                    </w:rPr>
                  </w:pPr>
                  <w:r>
                    <w:rPr>
                      <w:rFonts w:hint="default" w:ascii="Times New Roman" w:hAnsi="Times New Roman" w:eastAsia="宋体" w:cs="Times New Roman"/>
                      <w:b/>
                      <w:bCs w:val="0"/>
                      <w:color w:val="auto"/>
                      <w:sz w:val="21"/>
                      <w:szCs w:val="21"/>
                      <w:highlight w:val="none"/>
                      <w:vertAlign w:val="baseline"/>
                      <w:lang w:val="en-US" w:eastAsia="zh-CN"/>
                    </w:rPr>
                    <w:t>排污口编号</w:t>
                  </w:r>
                </w:p>
              </w:tc>
              <w:tc>
                <w:tcPr>
                  <w:tcW w:w="1556" w:type="dxa"/>
                  <w:noWrap w:val="0"/>
                  <w:vAlign w:val="center"/>
                </w:tcPr>
                <w:p w14:paraId="061D48DD">
                  <w:pPr>
                    <w:keepNext w:val="0"/>
                    <w:keepLines w:val="0"/>
                    <w:numPr>
                      <w:ilvl w:val="0"/>
                      <w:numId w:val="0"/>
                    </w:numPr>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highlight w:val="none"/>
                      <w:vertAlign w:val="baseline"/>
                      <w:lang w:val="en-US" w:eastAsia="zh-CN"/>
                    </w:rPr>
                  </w:pPr>
                  <w:r>
                    <w:rPr>
                      <w:rFonts w:hint="default" w:ascii="Times New Roman" w:hAnsi="Times New Roman" w:eastAsia="宋体" w:cs="Times New Roman"/>
                      <w:b/>
                      <w:bCs w:val="0"/>
                      <w:color w:val="auto"/>
                      <w:sz w:val="21"/>
                      <w:szCs w:val="21"/>
                      <w:highlight w:val="none"/>
                      <w:vertAlign w:val="baseline"/>
                      <w:lang w:val="en-US" w:eastAsia="zh-CN"/>
                    </w:rPr>
                    <w:t>污染物种类</w:t>
                  </w:r>
                </w:p>
              </w:tc>
              <w:tc>
                <w:tcPr>
                  <w:tcW w:w="1556" w:type="dxa"/>
                  <w:noWrap w:val="0"/>
                  <w:vAlign w:val="center"/>
                </w:tcPr>
                <w:p w14:paraId="4E320C25">
                  <w:pPr>
                    <w:keepNext w:val="0"/>
                    <w:keepLines w:val="0"/>
                    <w:numPr>
                      <w:ilvl w:val="0"/>
                      <w:numId w:val="0"/>
                    </w:numPr>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highlight w:val="none"/>
                      <w:vertAlign w:val="baseline"/>
                      <w:lang w:val="en-US" w:eastAsia="zh-CN"/>
                    </w:rPr>
                  </w:pPr>
                  <w:r>
                    <w:rPr>
                      <w:rFonts w:hint="default" w:ascii="Times New Roman" w:hAnsi="Times New Roman" w:eastAsia="宋体" w:cs="Times New Roman"/>
                      <w:b/>
                      <w:bCs w:val="0"/>
                      <w:color w:val="auto"/>
                      <w:sz w:val="21"/>
                      <w:szCs w:val="21"/>
                      <w:highlight w:val="none"/>
                      <w:vertAlign w:val="baseline"/>
                      <w:lang w:val="en-US" w:eastAsia="zh-CN"/>
                    </w:rPr>
                    <w:t>排放浓度</w:t>
                  </w:r>
                </w:p>
                <w:p w14:paraId="5EDF71B7">
                  <w:pPr>
                    <w:keepNext w:val="0"/>
                    <w:keepLines w:val="0"/>
                    <w:numPr>
                      <w:ilvl w:val="0"/>
                      <w:numId w:val="0"/>
                    </w:numPr>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highlight w:val="none"/>
                      <w:vertAlign w:val="baseline"/>
                      <w:lang w:val="en-US" w:eastAsia="zh-CN"/>
                    </w:rPr>
                  </w:pPr>
                  <w:r>
                    <w:rPr>
                      <w:rFonts w:hint="default" w:ascii="Times New Roman" w:hAnsi="Times New Roman" w:eastAsia="宋体" w:cs="Times New Roman"/>
                      <w:b/>
                      <w:bCs w:val="0"/>
                      <w:color w:val="auto"/>
                      <w:sz w:val="21"/>
                      <w:szCs w:val="21"/>
                      <w:highlight w:val="none"/>
                      <w:vertAlign w:val="baseline"/>
                      <w:lang w:val="en-US" w:eastAsia="zh-CN"/>
                    </w:rPr>
                    <w:t>mg/L</w:t>
                  </w:r>
                </w:p>
              </w:tc>
              <w:tc>
                <w:tcPr>
                  <w:tcW w:w="1809" w:type="dxa"/>
                  <w:noWrap w:val="0"/>
                  <w:vAlign w:val="center"/>
                </w:tcPr>
                <w:p w14:paraId="7D626ADF">
                  <w:pPr>
                    <w:keepNext w:val="0"/>
                    <w:keepLines w:val="0"/>
                    <w:numPr>
                      <w:ilvl w:val="0"/>
                      <w:numId w:val="0"/>
                    </w:numPr>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highlight w:val="none"/>
                      <w:vertAlign w:val="baseline"/>
                      <w:lang w:val="en-US" w:eastAsia="zh-CN"/>
                    </w:rPr>
                  </w:pPr>
                  <w:r>
                    <w:rPr>
                      <w:rFonts w:hint="default" w:ascii="Times New Roman" w:hAnsi="Times New Roman" w:eastAsia="宋体" w:cs="Times New Roman"/>
                      <w:b/>
                      <w:bCs w:val="0"/>
                      <w:color w:val="auto"/>
                      <w:sz w:val="21"/>
                      <w:szCs w:val="21"/>
                      <w:highlight w:val="none"/>
                      <w:vertAlign w:val="baseline"/>
                      <w:lang w:val="en-US" w:eastAsia="zh-CN"/>
                    </w:rPr>
                    <w:t>排放标准</w:t>
                  </w:r>
                </w:p>
                <w:p w14:paraId="0B599344">
                  <w:pPr>
                    <w:keepNext w:val="0"/>
                    <w:keepLines w:val="0"/>
                    <w:numPr>
                      <w:ilvl w:val="0"/>
                      <w:numId w:val="0"/>
                    </w:numPr>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highlight w:val="none"/>
                      <w:vertAlign w:val="baseline"/>
                      <w:lang w:val="en-US" w:eastAsia="zh-CN"/>
                    </w:rPr>
                  </w:pPr>
                  <w:r>
                    <w:rPr>
                      <w:rFonts w:hint="default" w:ascii="Times New Roman" w:hAnsi="Times New Roman" w:eastAsia="宋体" w:cs="Times New Roman"/>
                      <w:b/>
                      <w:bCs w:val="0"/>
                      <w:color w:val="auto"/>
                      <w:sz w:val="21"/>
                      <w:szCs w:val="21"/>
                      <w:highlight w:val="none"/>
                      <w:vertAlign w:val="baseline"/>
                      <w:lang w:val="en-US" w:eastAsia="zh-CN"/>
                    </w:rPr>
                    <w:t>mg/L</w:t>
                  </w:r>
                </w:p>
              </w:tc>
              <w:tc>
                <w:tcPr>
                  <w:tcW w:w="1303" w:type="dxa"/>
                  <w:noWrap w:val="0"/>
                  <w:vAlign w:val="center"/>
                </w:tcPr>
                <w:p w14:paraId="6AD3BF7E">
                  <w:pPr>
                    <w:keepNext w:val="0"/>
                    <w:keepLines w:val="0"/>
                    <w:numPr>
                      <w:ilvl w:val="0"/>
                      <w:numId w:val="0"/>
                    </w:numPr>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highlight w:val="none"/>
                      <w:vertAlign w:val="baseline"/>
                      <w:lang w:val="en-US" w:eastAsia="zh-CN"/>
                    </w:rPr>
                  </w:pPr>
                  <w:r>
                    <w:rPr>
                      <w:rFonts w:hint="default" w:ascii="Times New Roman" w:hAnsi="Times New Roman" w:eastAsia="宋体" w:cs="Times New Roman"/>
                      <w:b/>
                      <w:bCs w:val="0"/>
                      <w:color w:val="auto"/>
                      <w:sz w:val="21"/>
                      <w:szCs w:val="21"/>
                      <w:highlight w:val="none"/>
                      <w:vertAlign w:val="baseline"/>
                      <w:lang w:val="en-US" w:eastAsia="zh-CN"/>
                    </w:rPr>
                    <w:t>是否达标</w:t>
                  </w:r>
                </w:p>
              </w:tc>
            </w:tr>
            <w:tr w14:paraId="7CC00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556" w:type="dxa"/>
                  <w:vMerge w:val="restart"/>
                  <w:noWrap w:val="0"/>
                  <w:vAlign w:val="top"/>
                </w:tcPr>
                <w:p w14:paraId="36E5779C">
                  <w:pPr>
                    <w:keepNext w:val="0"/>
                    <w:keepLines w:val="0"/>
                    <w:numPr>
                      <w:ilvl w:val="0"/>
                      <w:numId w:val="0"/>
                    </w:numPr>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highlight w:val="none"/>
                      <w:vertAlign w:val="baseline"/>
                      <w:lang w:val="en-US" w:eastAsia="zh-CN"/>
                    </w:rPr>
                  </w:pPr>
                </w:p>
                <w:p w14:paraId="65ADE326">
                  <w:pPr>
                    <w:keepNext w:val="0"/>
                    <w:keepLines w:val="0"/>
                    <w:numPr>
                      <w:ilvl w:val="0"/>
                      <w:numId w:val="0"/>
                    </w:numPr>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highlight w:val="none"/>
                      <w:vertAlign w:val="baseline"/>
                      <w:lang w:val="en-US" w:eastAsia="zh-CN"/>
                    </w:rPr>
                  </w:pPr>
                </w:p>
                <w:p w14:paraId="1D31E11B">
                  <w:pPr>
                    <w:keepNext w:val="0"/>
                    <w:keepLines w:val="0"/>
                    <w:numPr>
                      <w:ilvl w:val="0"/>
                      <w:numId w:val="0"/>
                    </w:numPr>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生活污水排放口DW001</w:t>
                  </w:r>
                </w:p>
              </w:tc>
              <w:tc>
                <w:tcPr>
                  <w:tcW w:w="1556" w:type="dxa"/>
                  <w:noWrap w:val="0"/>
                  <w:vAlign w:val="center"/>
                </w:tcPr>
                <w:p w14:paraId="670CB589">
                  <w:pPr>
                    <w:keepNext w:val="0"/>
                    <w:keepLines w:val="0"/>
                    <w:suppressLineNumbers w:val="0"/>
                    <w:tabs>
                      <w:tab w:val="left" w:pos="6840"/>
                    </w:tabs>
                    <w:spacing w:before="0" w:beforeAutospacing="0" w:after="0" w:afterAutospacing="0" w:line="260" w:lineRule="exact"/>
                    <w:ind w:left="0" w:right="0"/>
                    <w:jc w:val="center"/>
                    <w:rPr>
                      <w:rFonts w:hint="default" w:ascii="Times New Roman" w:hAnsi="Times New Roman" w:eastAsia="宋体" w:cs="Times New Roman"/>
                      <w:b/>
                      <w:bCs w:val="0"/>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rPr>
                    <w:t>COD</w:t>
                  </w:r>
                </w:p>
              </w:tc>
              <w:tc>
                <w:tcPr>
                  <w:tcW w:w="1556" w:type="dxa"/>
                  <w:noWrap w:val="0"/>
                  <w:vAlign w:val="center"/>
                </w:tcPr>
                <w:p w14:paraId="351F52C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val="0"/>
                      <w:color w:val="auto"/>
                      <w:sz w:val="21"/>
                      <w:szCs w:val="21"/>
                      <w:highlight w:val="none"/>
                      <w:vertAlign w:val="baseline"/>
                      <w:lang w:val="en-US" w:eastAsia="zh-CN"/>
                    </w:rPr>
                  </w:pPr>
                  <w:r>
                    <w:rPr>
                      <w:rFonts w:hint="default" w:ascii="Times New Roman" w:hAnsi="Times New Roman" w:eastAsia="宋体" w:cs="Times New Roman"/>
                      <w:b w:val="0"/>
                      <w:color w:val="auto"/>
                      <w:kern w:val="2"/>
                      <w:sz w:val="21"/>
                      <w:szCs w:val="21"/>
                      <w:highlight w:val="none"/>
                      <w:lang w:val="en-US" w:eastAsia="zh-CN"/>
                    </w:rPr>
                    <w:t>242.25</w:t>
                  </w:r>
                </w:p>
              </w:tc>
              <w:tc>
                <w:tcPr>
                  <w:tcW w:w="1809" w:type="dxa"/>
                  <w:noWrap w:val="0"/>
                  <w:vAlign w:val="top"/>
                </w:tcPr>
                <w:p w14:paraId="66B42406">
                  <w:pPr>
                    <w:keepNext w:val="0"/>
                    <w:keepLines w:val="0"/>
                    <w:numPr>
                      <w:ilvl w:val="0"/>
                      <w:numId w:val="0"/>
                    </w:numPr>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450</w:t>
                  </w:r>
                </w:p>
              </w:tc>
              <w:tc>
                <w:tcPr>
                  <w:tcW w:w="1303" w:type="dxa"/>
                  <w:noWrap w:val="0"/>
                  <w:vAlign w:val="top"/>
                </w:tcPr>
                <w:p w14:paraId="473E5144">
                  <w:pPr>
                    <w:keepNext w:val="0"/>
                    <w:keepLines w:val="0"/>
                    <w:numPr>
                      <w:ilvl w:val="0"/>
                      <w:numId w:val="0"/>
                    </w:numPr>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highlight w:val="none"/>
                      <w:vertAlign w:val="baseline"/>
                      <w:lang w:val="en-US" w:eastAsia="zh-CN"/>
                    </w:rPr>
                  </w:pPr>
                  <w:r>
                    <w:rPr>
                      <w:rFonts w:hint="eastAsia" w:ascii="Times New Roman" w:hAnsi="Times New Roman" w:eastAsia="宋体" w:cs="Times New Roman"/>
                      <w:b w:val="0"/>
                      <w:bCs/>
                      <w:color w:val="auto"/>
                      <w:sz w:val="21"/>
                      <w:szCs w:val="21"/>
                      <w:highlight w:val="none"/>
                      <w:vertAlign w:val="baseline"/>
                      <w:lang w:val="en-US" w:eastAsia="zh-CN"/>
                    </w:rPr>
                    <w:t>是</w:t>
                  </w:r>
                </w:p>
              </w:tc>
            </w:tr>
            <w:tr w14:paraId="57C97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556" w:type="dxa"/>
                  <w:vMerge w:val="continue"/>
                  <w:noWrap w:val="0"/>
                  <w:vAlign w:val="top"/>
                </w:tcPr>
                <w:p w14:paraId="1F706756">
                  <w:pPr>
                    <w:keepNext w:val="0"/>
                    <w:keepLines w:val="0"/>
                    <w:numPr>
                      <w:ilvl w:val="0"/>
                      <w:numId w:val="0"/>
                    </w:numPr>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highlight w:val="none"/>
                      <w:vertAlign w:val="baseline"/>
                      <w:lang w:val="en-US" w:eastAsia="zh-CN"/>
                    </w:rPr>
                  </w:pPr>
                </w:p>
              </w:tc>
              <w:tc>
                <w:tcPr>
                  <w:tcW w:w="1556" w:type="dxa"/>
                  <w:noWrap w:val="0"/>
                  <w:vAlign w:val="center"/>
                </w:tcPr>
                <w:p w14:paraId="405EF648">
                  <w:pPr>
                    <w:keepNext w:val="0"/>
                    <w:keepLines w:val="0"/>
                    <w:suppressLineNumbers w:val="0"/>
                    <w:tabs>
                      <w:tab w:val="left" w:pos="6840"/>
                    </w:tabs>
                    <w:adjustRightInd w:val="0"/>
                    <w:snapToGrid w:val="0"/>
                    <w:spacing w:before="0" w:beforeAutospacing="0" w:after="0" w:afterAutospacing="0" w:line="260" w:lineRule="exact"/>
                    <w:ind w:left="0" w:right="0"/>
                    <w:jc w:val="center"/>
                    <w:rPr>
                      <w:rFonts w:hint="default" w:ascii="Times New Roman" w:hAnsi="Times New Roman" w:eastAsia="宋体" w:cs="Times New Roman"/>
                      <w:b/>
                      <w:bCs w:val="0"/>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rPr>
                    <w:t>BOD</w:t>
                  </w:r>
                  <w:r>
                    <w:rPr>
                      <w:rFonts w:hint="default" w:ascii="Times New Roman" w:hAnsi="Times New Roman" w:eastAsia="宋体" w:cs="Times New Roman"/>
                      <w:color w:val="auto"/>
                      <w:sz w:val="21"/>
                      <w:szCs w:val="21"/>
                      <w:highlight w:val="none"/>
                      <w:vertAlign w:val="subscript"/>
                    </w:rPr>
                    <w:t>5</w:t>
                  </w:r>
                </w:p>
              </w:tc>
              <w:tc>
                <w:tcPr>
                  <w:tcW w:w="1556" w:type="dxa"/>
                  <w:noWrap w:val="0"/>
                  <w:vAlign w:val="center"/>
                </w:tcPr>
                <w:p w14:paraId="70A8E76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val="0"/>
                      <w:color w:val="auto"/>
                      <w:sz w:val="21"/>
                      <w:szCs w:val="21"/>
                      <w:highlight w:val="none"/>
                      <w:vertAlign w:val="baseline"/>
                      <w:lang w:val="en-US" w:eastAsia="zh-CN"/>
                    </w:rPr>
                  </w:pPr>
                  <w:r>
                    <w:rPr>
                      <w:rFonts w:hint="default" w:ascii="Times New Roman" w:hAnsi="Times New Roman" w:eastAsia="宋体" w:cs="Times New Roman"/>
                      <w:b w:val="0"/>
                      <w:color w:val="auto"/>
                      <w:kern w:val="2"/>
                      <w:sz w:val="21"/>
                      <w:szCs w:val="21"/>
                      <w:highlight w:val="none"/>
                      <w:lang w:val="en-US" w:eastAsia="zh-CN"/>
                    </w:rPr>
                    <w:t>117.4</w:t>
                  </w:r>
                </w:p>
              </w:tc>
              <w:tc>
                <w:tcPr>
                  <w:tcW w:w="1809" w:type="dxa"/>
                  <w:noWrap w:val="0"/>
                  <w:vAlign w:val="top"/>
                </w:tcPr>
                <w:p w14:paraId="29F34B97">
                  <w:pPr>
                    <w:keepNext w:val="0"/>
                    <w:keepLines w:val="0"/>
                    <w:numPr>
                      <w:ilvl w:val="0"/>
                      <w:numId w:val="0"/>
                    </w:numPr>
                    <w:suppressLineNumbers w:val="0"/>
                    <w:spacing w:before="0" w:beforeAutospacing="0" w:after="0" w:afterAutospacing="0"/>
                    <w:ind w:left="0" w:right="0"/>
                    <w:jc w:val="center"/>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250</w:t>
                  </w:r>
                </w:p>
              </w:tc>
              <w:tc>
                <w:tcPr>
                  <w:tcW w:w="1303" w:type="dxa"/>
                  <w:noWrap w:val="0"/>
                  <w:vAlign w:val="top"/>
                </w:tcPr>
                <w:p w14:paraId="766024DC">
                  <w:pPr>
                    <w:keepNext w:val="0"/>
                    <w:keepLines w:val="0"/>
                    <w:numPr>
                      <w:ilvl w:val="0"/>
                      <w:numId w:val="0"/>
                    </w:numPr>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highlight w:val="none"/>
                      <w:vertAlign w:val="baseline"/>
                      <w:lang w:val="en-US" w:eastAsia="zh-CN"/>
                    </w:rPr>
                  </w:pPr>
                  <w:r>
                    <w:rPr>
                      <w:rFonts w:hint="eastAsia" w:ascii="Times New Roman" w:hAnsi="Times New Roman" w:eastAsia="宋体" w:cs="Times New Roman"/>
                      <w:b w:val="0"/>
                      <w:bCs/>
                      <w:color w:val="auto"/>
                      <w:sz w:val="21"/>
                      <w:szCs w:val="21"/>
                      <w:highlight w:val="none"/>
                      <w:vertAlign w:val="baseline"/>
                      <w:lang w:val="en-US" w:eastAsia="zh-CN"/>
                    </w:rPr>
                    <w:t>是</w:t>
                  </w:r>
                </w:p>
              </w:tc>
            </w:tr>
            <w:tr w14:paraId="07F74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556" w:type="dxa"/>
                  <w:vMerge w:val="continue"/>
                  <w:noWrap w:val="0"/>
                  <w:vAlign w:val="top"/>
                </w:tcPr>
                <w:p w14:paraId="260A36D3">
                  <w:pPr>
                    <w:keepNext w:val="0"/>
                    <w:keepLines w:val="0"/>
                    <w:numPr>
                      <w:ilvl w:val="0"/>
                      <w:numId w:val="0"/>
                    </w:numPr>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highlight w:val="none"/>
                      <w:vertAlign w:val="baseline"/>
                      <w:lang w:val="en-US" w:eastAsia="zh-CN"/>
                    </w:rPr>
                  </w:pPr>
                </w:p>
              </w:tc>
              <w:tc>
                <w:tcPr>
                  <w:tcW w:w="1556" w:type="dxa"/>
                  <w:noWrap w:val="0"/>
                  <w:vAlign w:val="center"/>
                </w:tcPr>
                <w:p w14:paraId="004D7EE7">
                  <w:pPr>
                    <w:keepNext w:val="0"/>
                    <w:keepLines w:val="0"/>
                    <w:suppressLineNumbers w:val="0"/>
                    <w:tabs>
                      <w:tab w:val="left" w:pos="6840"/>
                    </w:tabs>
                    <w:adjustRightInd w:val="0"/>
                    <w:snapToGrid w:val="0"/>
                    <w:spacing w:before="0" w:beforeAutospacing="0" w:after="0" w:afterAutospacing="0" w:line="260" w:lineRule="exact"/>
                    <w:ind w:left="0" w:right="0"/>
                    <w:jc w:val="center"/>
                    <w:rPr>
                      <w:rFonts w:hint="default" w:ascii="Times New Roman" w:hAnsi="Times New Roman" w:eastAsia="宋体" w:cs="Times New Roman"/>
                      <w:b/>
                      <w:bCs w:val="0"/>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rPr>
                    <w:t>SS</w:t>
                  </w:r>
                </w:p>
              </w:tc>
              <w:tc>
                <w:tcPr>
                  <w:tcW w:w="1556" w:type="dxa"/>
                  <w:noWrap w:val="0"/>
                  <w:vAlign w:val="center"/>
                </w:tcPr>
                <w:p w14:paraId="791C72A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val="0"/>
                      <w:color w:val="auto"/>
                      <w:sz w:val="21"/>
                      <w:szCs w:val="21"/>
                      <w:highlight w:val="none"/>
                      <w:vertAlign w:val="baseline"/>
                      <w:lang w:val="en-US" w:eastAsia="zh-CN"/>
                    </w:rPr>
                  </w:pPr>
                  <w:r>
                    <w:rPr>
                      <w:rFonts w:hint="default" w:ascii="Times New Roman" w:hAnsi="Times New Roman" w:eastAsia="宋体" w:cs="Times New Roman"/>
                      <w:b w:val="0"/>
                      <w:color w:val="auto"/>
                      <w:kern w:val="2"/>
                      <w:sz w:val="21"/>
                      <w:szCs w:val="21"/>
                      <w:highlight w:val="none"/>
                      <w:lang w:val="en-US" w:eastAsia="zh-CN"/>
                    </w:rPr>
                    <w:t>175</w:t>
                  </w:r>
                </w:p>
              </w:tc>
              <w:tc>
                <w:tcPr>
                  <w:tcW w:w="1809" w:type="dxa"/>
                  <w:noWrap w:val="0"/>
                  <w:vAlign w:val="top"/>
                </w:tcPr>
                <w:p w14:paraId="2270D8DB">
                  <w:pPr>
                    <w:keepNext w:val="0"/>
                    <w:keepLines w:val="0"/>
                    <w:numPr>
                      <w:ilvl w:val="0"/>
                      <w:numId w:val="0"/>
                    </w:numPr>
                    <w:suppressLineNumbers w:val="0"/>
                    <w:spacing w:before="0" w:beforeAutospacing="0" w:after="0" w:afterAutospacing="0"/>
                    <w:ind w:left="0" w:right="0"/>
                    <w:jc w:val="center"/>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300</w:t>
                  </w:r>
                </w:p>
              </w:tc>
              <w:tc>
                <w:tcPr>
                  <w:tcW w:w="1303" w:type="dxa"/>
                  <w:noWrap w:val="0"/>
                  <w:vAlign w:val="top"/>
                </w:tcPr>
                <w:p w14:paraId="06437788">
                  <w:pPr>
                    <w:keepNext w:val="0"/>
                    <w:keepLines w:val="0"/>
                    <w:numPr>
                      <w:ilvl w:val="0"/>
                      <w:numId w:val="0"/>
                    </w:numPr>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highlight w:val="none"/>
                      <w:vertAlign w:val="baseline"/>
                      <w:lang w:val="en-US" w:eastAsia="zh-CN"/>
                    </w:rPr>
                  </w:pPr>
                  <w:r>
                    <w:rPr>
                      <w:rFonts w:hint="eastAsia" w:ascii="Times New Roman" w:hAnsi="Times New Roman" w:eastAsia="宋体" w:cs="Times New Roman"/>
                      <w:b w:val="0"/>
                      <w:bCs/>
                      <w:color w:val="auto"/>
                      <w:sz w:val="21"/>
                      <w:szCs w:val="21"/>
                      <w:highlight w:val="none"/>
                      <w:vertAlign w:val="baseline"/>
                      <w:lang w:val="en-US" w:eastAsia="zh-CN"/>
                    </w:rPr>
                    <w:t>是</w:t>
                  </w:r>
                </w:p>
              </w:tc>
            </w:tr>
            <w:tr w14:paraId="18793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556" w:type="dxa"/>
                  <w:vMerge w:val="continue"/>
                  <w:noWrap w:val="0"/>
                  <w:vAlign w:val="top"/>
                </w:tcPr>
                <w:p w14:paraId="3B19E19D">
                  <w:pPr>
                    <w:keepNext w:val="0"/>
                    <w:keepLines w:val="0"/>
                    <w:numPr>
                      <w:ilvl w:val="0"/>
                      <w:numId w:val="0"/>
                    </w:numPr>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highlight w:val="none"/>
                      <w:vertAlign w:val="baseline"/>
                      <w:lang w:val="en-US" w:eastAsia="zh-CN"/>
                    </w:rPr>
                  </w:pPr>
                </w:p>
              </w:tc>
              <w:tc>
                <w:tcPr>
                  <w:tcW w:w="1556" w:type="dxa"/>
                  <w:noWrap w:val="0"/>
                  <w:vAlign w:val="center"/>
                </w:tcPr>
                <w:p w14:paraId="14989D32">
                  <w:pPr>
                    <w:keepNext w:val="0"/>
                    <w:keepLines w:val="0"/>
                    <w:suppressLineNumbers w:val="0"/>
                    <w:tabs>
                      <w:tab w:val="left" w:pos="6840"/>
                    </w:tabs>
                    <w:adjustRightInd w:val="0"/>
                    <w:snapToGrid w:val="0"/>
                    <w:spacing w:before="0" w:beforeAutospacing="0" w:after="0" w:afterAutospacing="0" w:line="260" w:lineRule="exact"/>
                    <w:ind w:left="0" w:right="0"/>
                    <w:jc w:val="center"/>
                    <w:rPr>
                      <w:rFonts w:hint="default" w:ascii="Times New Roman" w:hAnsi="Times New Roman" w:eastAsia="宋体" w:cs="Times New Roman"/>
                      <w:b/>
                      <w:bCs w:val="0"/>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rPr>
                    <w:t>氨氮</w:t>
                  </w:r>
                </w:p>
              </w:tc>
              <w:tc>
                <w:tcPr>
                  <w:tcW w:w="1556" w:type="dxa"/>
                  <w:noWrap w:val="0"/>
                  <w:vAlign w:val="center"/>
                </w:tcPr>
                <w:p w14:paraId="13DE97E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val="0"/>
                      <w:color w:val="auto"/>
                      <w:sz w:val="21"/>
                      <w:szCs w:val="21"/>
                      <w:highlight w:val="none"/>
                      <w:vertAlign w:val="baseline"/>
                      <w:lang w:val="en-US" w:eastAsia="zh-CN"/>
                    </w:rPr>
                  </w:pPr>
                  <w:r>
                    <w:rPr>
                      <w:rFonts w:hint="default" w:ascii="Times New Roman" w:hAnsi="Times New Roman" w:eastAsia="宋体" w:cs="Times New Roman"/>
                      <w:b w:val="0"/>
                      <w:color w:val="auto"/>
                      <w:kern w:val="2"/>
                      <w:sz w:val="21"/>
                      <w:szCs w:val="21"/>
                      <w:highlight w:val="none"/>
                      <w:lang w:val="en-US" w:eastAsia="zh-CN"/>
                    </w:rPr>
                    <w:t>21.9</w:t>
                  </w:r>
                </w:p>
              </w:tc>
              <w:tc>
                <w:tcPr>
                  <w:tcW w:w="1809" w:type="dxa"/>
                  <w:noWrap w:val="0"/>
                  <w:vAlign w:val="top"/>
                </w:tcPr>
                <w:p w14:paraId="7D2AE10F">
                  <w:pPr>
                    <w:keepNext w:val="0"/>
                    <w:keepLines w:val="0"/>
                    <w:numPr>
                      <w:ilvl w:val="0"/>
                      <w:numId w:val="0"/>
                    </w:numPr>
                    <w:suppressLineNumbers w:val="0"/>
                    <w:spacing w:before="0" w:beforeAutospacing="0" w:after="0" w:afterAutospacing="0"/>
                    <w:ind w:left="0" w:right="0"/>
                    <w:jc w:val="center"/>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25</w:t>
                  </w:r>
                </w:p>
              </w:tc>
              <w:tc>
                <w:tcPr>
                  <w:tcW w:w="1303" w:type="dxa"/>
                  <w:noWrap w:val="0"/>
                  <w:vAlign w:val="top"/>
                </w:tcPr>
                <w:p w14:paraId="696BBB5F">
                  <w:pPr>
                    <w:keepNext w:val="0"/>
                    <w:keepLines w:val="0"/>
                    <w:numPr>
                      <w:ilvl w:val="0"/>
                      <w:numId w:val="0"/>
                    </w:numPr>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highlight w:val="none"/>
                      <w:vertAlign w:val="baseline"/>
                      <w:lang w:val="en-US" w:eastAsia="zh-CN"/>
                    </w:rPr>
                  </w:pPr>
                  <w:r>
                    <w:rPr>
                      <w:rFonts w:hint="eastAsia" w:ascii="Times New Roman" w:hAnsi="Times New Roman" w:eastAsia="宋体" w:cs="Times New Roman"/>
                      <w:b w:val="0"/>
                      <w:bCs/>
                      <w:color w:val="auto"/>
                      <w:sz w:val="21"/>
                      <w:szCs w:val="21"/>
                      <w:highlight w:val="none"/>
                      <w:vertAlign w:val="baseline"/>
                      <w:lang w:val="en-US" w:eastAsia="zh-CN"/>
                    </w:rPr>
                    <w:t>是</w:t>
                  </w:r>
                </w:p>
              </w:tc>
            </w:tr>
            <w:tr w14:paraId="5BEAB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556" w:type="dxa"/>
                  <w:vMerge w:val="continue"/>
                  <w:noWrap w:val="0"/>
                  <w:vAlign w:val="top"/>
                </w:tcPr>
                <w:p w14:paraId="3C662A29">
                  <w:pPr>
                    <w:keepNext w:val="0"/>
                    <w:keepLines w:val="0"/>
                    <w:numPr>
                      <w:ilvl w:val="0"/>
                      <w:numId w:val="0"/>
                    </w:numPr>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highlight w:val="none"/>
                      <w:vertAlign w:val="baseline"/>
                      <w:lang w:val="en-US" w:eastAsia="zh-CN"/>
                    </w:rPr>
                  </w:pPr>
                </w:p>
              </w:tc>
              <w:tc>
                <w:tcPr>
                  <w:tcW w:w="1556" w:type="dxa"/>
                  <w:noWrap w:val="0"/>
                  <w:vAlign w:val="center"/>
                </w:tcPr>
                <w:p w14:paraId="687E65AC">
                  <w:pPr>
                    <w:keepNext w:val="0"/>
                    <w:keepLines w:val="0"/>
                    <w:suppressLineNumbers w:val="0"/>
                    <w:tabs>
                      <w:tab w:val="left" w:pos="6840"/>
                    </w:tabs>
                    <w:adjustRightInd w:val="0"/>
                    <w:snapToGrid w:val="0"/>
                    <w:spacing w:before="0" w:beforeAutospacing="0" w:after="0" w:afterAutospacing="0" w:line="260" w:lineRule="exact"/>
                    <w:ind w:left="0" w:right="0"/>
                    <w:jc w:val="center"/>
                    <w:rPr>
                      <w:rFonts w:hint="default" w:ascii="Times New Roman" w:hAnsi="Times New Roman" w:eastAsia="宋体" w:cs="Times New Roman"/>
                      <w:b/>
                      <w:bCs w:val="0"/>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lang w:val="en-US" w:eastAsia="zh-CN"/>
                    </w:rPr>
                    <w:t>TP</w:t>
                  </w:r>
                </w:p>
              </w:tc>
              <w:tc>
                <w:tcPr>
                  <w:tcW w:w="1556" w:type="dxa"/>
                  <w:noWrap w:val="0"/>
                  <w:vAlign w:val="center"/>
                </w:tcPr>
                <w:p w14:paraId="4898B5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val="0"/>
                      <w:color w:val="auto"/>
                      <w:sz w:val="21"/>
                      <w:szCs w:val="21"/>
                      <w:highlight w:val="none"/>
                      <w:vertAlign w:val="baseline"/>
                      <w:lang w:val="en-US" w:eastAsia="zh-CN"/>
                    </w:rPr>
                  </w:pPr>
                  <w:r>
                    <w:rPr>
                      <w:rFonts w:hint="default" w:ascii="Times New Roman" w:hAnsi="Times New Roman" w:eastAsia="宋体" w:cs="Times New Roman"/>
                      <w:b w:val="0"/>
                      <w:color w:val="auto"/>
                      <w:kern w:val="2"/>
                      <w:sz w:val="21"/>
                      <w:szCs w:val="21"/>
                      <w:highlight w:val="none"/>
                      <w:lang w:val="en-US" w:eastAsia="zh-CN"/>
                    </w:rPr>
                    <w:t>3.84</w:t>
                  </w:r>
                </w:p>
              </w:tc>
              <w:tc>
                <w:tcPr>
                  <w:tcW w:w="1809" w:type="dxa"/>
                  <w:noWrap w:val="0"/>
                  <w:vAlign w:val="top"/>
                </w:tcPr>
                <w:p w14:paraId="7CA934A6">
                  <w:pPr>
                    <w:keepNext w:val="0"/>
                    <w:keepLines w:val="0"/>
                    <w:numPr>
                      <w:ilvl w:val="0"/>
                      <w:numId w:val="0"/>
                    </w:numPr>
                    <w:suppressLineNumbers w:val="0"/>
                    <w:spacing w:before="0" w:beforeAutospacing="0" w:after="0" w:afterAutospacing="0"/>
                    <w:ind w:left="0" w:right="0"/>
                    <w:jc w:val="center"/>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5</w:t>
                  </w:r>
                </w:p>
              </w:tc>
              <w:tc>
                <w:tcPr>
                  <w:tcW w:w="1303" w:type="dxa"/>
                  <w:noWrap w:val="0"/>
                  <w:vAlign w:val="top"/>
                </w:tcPr>
                <w:p w14:paraId="1B80F590">
                  <w:pPr>
                    <w:keepNext w:val="0"/>
                    <w:keepLines w:val="0"/>
                    <w:numPr>
                      <w:ilvl w:val="0"/>
                      <w:numId w:val="0"/>
                    </w:numPr>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highlight w:val="none"/>
                      <w:vertAlign w:val="baseline"/>
                      <w:lang w:val="en-US" w:eastAsia="zh-CN"/>
                    </w:rPr>
                  </w:pPr>
                  <w:r>
                    <w:rPr>
                      <w:rFonts w:hint="eastAsia" w:ascii="Times New Roman" w:hAnsi="Times New Roman" w:eastAsia="宋体" w:cs="Times New Roman"/>
                      <w:b w:val="0"/>
                      <w:bCs/>
                      <w:color w:val="auto"/>
                      <w:sz w:val="21"/>
                      <w:szCs w:val="21"/>
                      <w:highlight w:val="none"/>
                      <w:vertAlign w:val="baseline"/>
                      <w:lang w:val="en-US" w:eastAsia="zh-CN"/>
                    </w:rPr>
                    <w:t>是</w:t>
                  </w:r>
                </w:p>
              </w:tc>
            </w:tr>
            <w:tr w14:paraId="1A365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556" w:type="dxa"/>
                  <w:vMerge w:val="continue"/>
                  <w:noWrap w:val="0"/>
                  <w:vAlign w:val="top"/>
                </w:tcPr>
                <w:p w14:paraId="68518C84">
                  <w:pPr>
                    <w:keepNext w:val="0"/>
                    <w:keepLines w:val="0"/>
                    <w:numPr>
                      <w:ilvl w:val="0"/>
                      <w:numId w:val="0"/>
                    </w:numPr>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highlight w:val="none"/>
                      <w:vertAlign w:val="baseline"/>
                      <w:lang w:val="en-US" w:eastAsia="zh-CN"/>
                    </w:rPr>
                  </w:pPr>
                </w:p>
              </w:tc>
              <w:tc>
                <w:tcPr>
                  <w:tcW w:w="1556" w:type="dxa"/>
                  <w:noWrap w:val="0"/>
                  <w:vAlign w:val="center"/>
                </w:tcPr>
                <w:p w14:paraId="5865AA08">
                  <w:pPr>
                    <w:keepNext w:val="0"/>
                    <w:keepLines w:val="0"/>
                    <w:suppressLineNumbers w:val="0"/>
                    <w:tabs>
                      <w:tab w:val="left" w:pos="6840"/>
                    </w:tabs>
                    <w:adjustRightInd w:val="0"/>
                    <w:snapToGrid w:val="0"/>
                    <w:spacing w:before="0" w:beforeAutospacing="0" w:after="0" w:afterAutospacing="0" w:line="260" w:lineRule="exact"/>
                    <w:ind w:left="0" w:right="0"/>
                    <w:jc w:val="center"/>
                    <w:rPr>
                      <w:rFonts w:hint="default" w:ascii="Times New Roman" w:hAnsi="Times New Roman" w:eastAsia="宋体" w:cs="Times New Roman"/>
                      <w:b/>
                      <w:bCs w:val="0"/>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lang w:val="en-US" w:eastAsia="zh-CN"/>
                    </w:rPr>
                    <w:t>TN</w:t>
                  </w:r>
                </w:p>
              </w:tc>
              <w:tc>
                <w:tcPr>
                  <w:tcW w:w="1556" w:type="dxa"/>
                  <w:noWrap w:val="0"/>
                  <w:vAlign w:val="center"/>
                </w:tcPr>
                <w:p w14:paraId="544AB7E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val="0"/>
                      <w:color w:val="auto"/>
                      <w:sz w:val="21"/>
                      <w:szCs w:val="21"/>
                      <w:highlight w:val="none"/>
                      <w:vertAlign w:val="baseline"/>
                      <w:lang w:val="en-US" w:eastAsia="zh-CN"/>
                    </w:rPr>
                  </w:pPr>
                  <w:r>
                    <w:rPr>
                      <w:rFonts w:hint="default" w:ascii="Times New Roman" w:hAnsi="Times New Roman" w:eastAsia="宋体" w:cs="Times New Roman"/>
                      <w:b w:val="0"/>
                      <w:color w:val="auto"/>
                      <w:kern w:val="2"/>
                      <w:sz w:val="21"/>
                      <w:szCs w:val="21"/>
                      <w:highlight w:val="none"/>
                      <w:lang w:val="en-US" w:eastAsia="zh-CN"/>
                    </w:rPr>
                    <w:t>30.3</w:t>
                  </w:r>
                </w:p>
              </w:tc>
              <w:tc>
                <w:tcPr>
                  <w:tcW w:w="1809" w:type="dxa"/>
                  <w:noWrap w:val="0"/>
                  <w:vAlign w:val="top"/>
                </w:tcPr>
                <w:p w14:paraId="4EC62A53">
                  <w:pPr>
                    <w:keepNext w:val="0"/>
                    <w:keepLines w:val="0"/>
                    <w:numPr>
                      <w:ilvl w:val="0"/>
                      <w:numId w:val="0"/>
                    </w:numPr>
                    <w:suppressLineNumbers w:val="0"/>
                    <w:spacing w:before="0" w:beforeAutospacing="0" w:after="0" w:afterAutospacing="0"/>
                    <w:ind w:left="0" w:right="0"/>
                    <w:jc w:val="center"/>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35</w:t>
                  </w:r>
                </w:p>
              </w:tc>
              <w:tc>
                <w:tcPr>
                  <w:tcW w:w="1303" w:type="dxa"/>
                  <w:noWrap w:val="0"/>
                  <w:vAlign w:val="top"/>
                </w:tcPr>
                <w:p w14:paraId="34676F93">
                  <w:pPr>
                    <w:keepNext w:val="0"/>
                    <w:keepLines w:val="0"/>
                    <w:numPr>
                      <w:ilvl w:val="0"/>
                      <w:numId w:val="0"/>
                    </w:numPr>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highlight w:val="none"/>
                      <w:vertAlign w:val="baseline"/>
                      <w:lang w:val="en-US" w:eastAsia="zh-CN"/>
                    </w:rPr>
                  </w:pPr>
                  <w:r>
                    <w:rPr>
                      <w:rFonts w:hint="eastAsia" w:ascii="Times New Roman" w:hAnsi="Times New Roman" w:eastAsia="宋体" w:cs="Times New Roman"/>
                      <w:b w:val="0"/>
                      <w:bCs/>
                      <w:color w:val="auto"/>
                      <w:sz w:val="21"/>
                      <w:szCs w:val="21"/>
                      <w:highlight w:val="none"/>
                      <w:vertAlign w:val="baseline"/>
                      <w:lang w:val="en-US" w:eastAsia="zh-CN"/>
                    </w:rPr>
                    <w:t>是</w:t>
                  </w:r>
                </w:p>
              </w:tc>
            </w:tr>
          </w:tbl>
          <w:p w14:paraId="4C541C33">
            <w:pPr>
              <w:keepNext w:val="0"/>
              <w:keepLines w:val="0"/>
              <w:numPr>
                <w:ilvl w:val="0"/>
                <w:numId w:val="0"/>
              </w:numPr>
              <w:suppressLineNumbers w:val="0"/>
              <w:spacing w:before="0" w:beforeAutospacing="0" w:after="0" w:afterAutospacing="0"/>
              <w:ind w:left="420" w:leftChars="200" w:right="0"/>
              <w:jc w:val="center"/>
              <w:rPr>
                <w:rFonts w:hint="default" w:ascii="Times New Roman" w:hAnsi="Times New Roman" w:eastAsia="宋体" w:cs="Times New Roman"/>
                <w:b/>
                <w:bCs w:val="0"/>
                <w:color w:val="auto"/>
                <w:sz w:val="21"/>
                <w:szCs w:val="21"/>
                <w:highlight w:val="none"/>
                <w:lang w:val="en-US" w:eastAsia="zh-CN"/>
              </w:rPr>
            </w:pPr>
          </w:p>
          <w:p w14:paraId="6A98C64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5、</w:t>
            </w:r>
            <w:r>
              <w:rPr>
                <w:rFonts w:hint="default" w:ascii="Times New Roman" w:hAnsi="Times New Roman" w:eastAsia="宋体" w:cs="Times New Roman"/>
                <w:b/>
                <w:bCs/>
                <w:color w:val="auto"/>
                <w:sz w:val="24"/>
                <w:szCs w:val="24"/>
                <w:highlight w:val="none"/>
                <w:lang w:val="en-US" w:eastAsia="zh-CN"/>
              </w:rPr>
              <w:t>可行性分析</w:t>
            </w:r>
            <w:r>
              <w:rPr>
                <w:rFonts w:hint="eastAsia" w:ascii="Times New Roman" w:hAnsi="Times New Roman" w:eastAsia="宋体" w:cs="Times New Roman"/>
                <w:b/>
                <w:bCs/>
                <w:color w:val="auto"/>
                <w:sz w:val="24"/>
                <w:szCs w:val="24"/>
                <w:highlight w:val="none"/>
                <w:lang w:val="en-US" w:eastAsia="zh-CN"/>
              </w:rPr>
              <w:t xml:space="preserve"> </w:t>
            </w:r>
          </w:p>
          <w:p w14:paraId="4AA660D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（1）处理能力</w:t>
            </w:r>
          </w:p>
          <w:p w14:paraId="5BAB599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pacing w:val="-1"/>
                <w:kern w:val="0"/>
                <w:sz w:val="24"/>
                <w:szCs w:val="24"/>
                <w:highlight w:val="none"/>
                <w:lang w:val="en-US" w:eastAsia="zh-CN" w:bidi="ar"/>
              </w:rPr>
            </w:pPr>
            <w:r>
              <w:rPr>
                <w:rFonts w:hint="default" w:ascii="Times New Roman" w:hAnsi="Times New Roman" w:eastAsia="宋体" w:cs="Times New Roman"/>
                <w:b w:val="0"/>
                <w:bCs w:val="0"/>
                <w:color w:val="auto"/>
                <w:sz w:val="24"/>
                <w:szCs w:val="24"/>
                <w:highlight w:val="none"/>
                <w:lang w:val="en-US" w:eastAsia="zh-CN"/>
              </w:rPr>
              <w:t>项目的废水间接排放至</w:t>
            </w:r>
            <w:r>
              <w:rPr>
                <w:rFonts w:hint="default" w:ascii="Times New Roman" w:hAnsi="Times New Roman" w:eastAsia="宋体" w:cs="Times New Roman"/>
                <w:b w:val="0"/>
                <w:bCs w:val="0"/>
                <w:color w:val="auto"/>
                <w:kern w:val="0"/>
                <w:sz w:val="24"/>
                <w:szCs w:val="24"/>
                <w:highlight w:val="none"/>
                <w:lang w:val="en-US" w:eastAsia="zh-CN" w:bidi="ar"/>
              </w:rPr>
              <w:t>广东阳东经济开发区污水处理厂，该污水厂</w:t>
            </w:r>
            <w:r>
              <w:rPr>
                <w:rFonts w:hint="default" w:ascii="Times New Roman" w:hAnsi="Times New Roman" w:eastAsia="宋体" w:cs="Times New Roman"/>
                <w:color w:val="auto"/>
                <w:spacing w:val="-1"/>
                <w:kern w:val="0"/>
                <w:sz w:val="24"/>
                <w:szCs w:val="24"/>
                <w:highlight w:val="none"/>
                <w:lang w:val="en-US" w:eastAsia="zh-CN" w:bidi="ar"/>
              </w:rPr>
              <w:t>位于阳江市阳东区城区东北面、观音塘以北、那金联围内。污水总处理规模为8万吨/天。分期建设，已投入使用的一期工程建设规模为2万吨/天，现已满负荷。二期工程建设规模为4万吨/天</w:t>
            </w:r>
            <w:r>
              <w:rPr>
                <w:rFonts w:hint="default" w:ascii="Times New Roman" w:hAnsi="Times New Roman" w:cs="Times New Roman"/>
                <w:color w:val="auto"/>
                <w:spacing w:val="-1"/>
                <w:kern w:val="0"/>
                <w:sz w:val="24"/>
                <w:szCs w:val="24"/>
                <w:highlight w:val="none"/>
                <w:lang w:val="en-US" w:eastAsia="zh-CN" w:bidi="ar"/>
              </w:rPr>
              <w:t>，2022年2月取得环评批复，2022年6月试运营并于2022年10月完成验收，现已投入使用</w:t>
            </w:r>
            <w:r>
              <w:rPr>
                <w:rFonts w:hint="default" w:ascii="Times New Roman" w:hAnsi="Times New Roman" w:eastAsia="宋体" w:cs="Times New Roman"/>
                <w:color w:val="auto"/>
                <w:spacing w:val="-1"/>
                <w:kern w:val="0"/>
                <w:sz w:val="24"/>
                <w:szCs w:val="24"/>
                <w:highlight w:val="none"/>
                <w:lang w:val="en-US" w:eastAsia="zh-CN" w:bidi="ar"/>
              </w:rPr>
              <w:t>。</w:t>
            </w:r>
          </w:p>
          <w:p w14:paraId="55152DB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76" w:firstLineChars="200"/>
              <w:textAlignment w:val="auto"/>
              <w:rPr>
                <w:rFonts w:hint="eastAsia" w:ascii="Times New Roman" w:hAnsi="Times New Roman" w:eastAsia="宋体" w:cs="Times New Roman"/>
                <w:color w:val="auto"/>
                <w:spacing w:val="-1"/>
                <w:kern w:val="0"/>
                <w:sz w:val="24"/>
                <w:szCs w:val="24"/>
                <w:highlight w:val="none"/>
                <w:lang w:val="en-US" w:eastAsia="zh-CN" w:bidi="ar"/>
              </w:rPr>
            </w:pPr>
            <w:r>
              <w:rPr>
                <w:rFonts w:hint="eastAsia" w:ascii="Times New Roman" w:hAnsi="Times New Roman" w:eastAsia="宋体" w:cs="Times New Roman"/>
                <w:color w:val="auto"/>
                <w:spacing w:val="-1"/>
                <w:kern w:val="0"/>
                <w:sz w:val="24"/>
                <w:szCs w:val="24"/>
                <w:highlight w:val="none"/>
                <w:lang w:val="en-US" w:eastAsia="zh-CN" w:bidi="ar"/>
              </w:rPr>
              <w:t>查阅全国排污许可证管理信息平台公示的污水厂运营情况，单位名称阳江市阳东区景富建设投资管理有限公司（阳东经济开发区污水处理厂二期工程）。根据</w:t>
            </w:r>
            <w:r>
              <w:rPr>
                <w:rFonts w:hint="default" w:ascii="Times New Roman" w:hAnsi="Times New Roman" w:eastAsia="宋体" w:cs="Times New Roman"/>
                <w:b w:val="0"/>
                <w:bCs w:val="0"/>
                <w:color w:val="auto"/>
                <w:kern w:val="0"/>
                <w:sz w:val="24"/>
                <w:szCs w:val="24"/>
                <w:highlight w:val="none"/>
                <w:lang w:val="en-US" w:eastAsia="zh-CN" w:bidi="ar"/>
              </w:rPr>
              <w:t>广东阳东经济开发区污水处理厂</w:t>
            </w:r>
            <w:r>
              <w:rPr>
                <w:rFonts w:hint="eastAsia" w:ascii="Times New Roman" w:hAnsi="Times New Roman" w:eastAsia="宋体" w:cs="Times New Roman"/>
                <w:b w:val="0"/>
                <w:bCs w:val="0"/>
                <w:color w:val="auto"/>
                <w:kern w:val="0"/>
                <w:sz w:val="24"/>
                <w:szCs w:val="24"/>
                <w:highlight w:val="none"/>
                <w:lang w:val="en-US" w:eastAsia="zh-CN" w:bidi="ar"/>
              </w:rPr>
              <w:t>公示的</w:t>
            </w:r>
            <w:r>
              <w:rPr>
                <w:rFonts w:hint="eastAsia" w:ascii="Times New Roman" w:hAnsi="Times New Roman" w:eastAsia="宋体" w:cs="Times New Roman"/>
                <w:color w:val="auto"/>
                <w:spacing w:val="-1"/>
                <w:kern w:val="0"/>
                <w:sz w:val="24"/>
                <w:szCs w:val="24"/>
                <w:highlight w:val="none"/>
                <w:lang w:val="en-US" w:eastAsia="zh-CN" w:bidi="ar"/>
              </w:rPr>
              <w:t>2024年年报表，污水处理厂的污水治理措施运行良好，2024年的COD排放量为108吨，占许可排放量583.73吨的19%，因此，二期工程具有充足的处理余量接收本项目所产生的污水（本项目预计年产生COD 0.12t）。</w:t>
            </w:r>
          </w:p>
          <w:p w14:paraId="4B84211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w:t>
            </w:r>
            <w:r>
              <w:rPr>
                <w:rFonts w:hint="eastAsia"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en-US" w:eastAsia="zh-CN"/>
              </w:rPr>
              <w:t>）设计进出水质</w:t>
            </w:r>
          </w:p>
          <w:p w14:paraId="4430239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175"/>
              <w:textAlignment w:val="auto"/>
              <w:rPr>
                <w:rFonts w:hint="default" w:ascii="Times New Roman" w:hAnsi="Times New Roman" w:eastAsia="宋体" w:cs="Times New Roman"/>
                <w:b w:val="0"/>
                <w:bCs w:val="0"/>
                <w:color w:val="auto"/>
                <w:kern w:val="0"/>
                <w:sz w:val="24"/>
                <w:szCs w:val="24"/>
                <w:highlight w:val="none"/>
                <w:lang w:val="en-US" w:eastAsia="zh-CN" w:bidi="ar"/>
              </w:rPr>
            </w:pPr>
            <w:r>
              <w:rPr>
                <w:rFonts w:hint="default" w:ascii="Times New Roman" w:hAnsi="Times New Roman" w:eastAsia="宋体" w:cs="Times New Roman"/>
                <w:b w:val="0"/>
                <w:bCs w:val="0"/>
                <w:color w:val="auto"/>
                <w:kern w:val="0"/>
                <w:sz w:val="24"/>
                <w:szCs w:val="24"/>
                <w:highlight w:val="none"/>
                <w:lang w:val="en-US" w:eastAsia="zh-CN" w:bidi="ar"/>
              </w:rPr>
              <w:t>广东阳东经济开发区污水处理厂二期工程的设计进水见上文表19，设计出水标准为《城镇污水处理厂污染物排放标准》（GB18918-2002）中的一级A标准及广东省地方标准《水污染排放限值》（DB44/26-2001）第二时段以及标准较严值。经上表4</w:t>
            </w:r>
            <w:r>
              <w:rPr>
                <w:rFonts w:hint="eastAsia" w:cs="Times New Roman"/>
                <w:b w:val="0"/>
                <w:bCs w:val="0"/>
                <w:color w:val="auto"/>
                <w:kern w:val="0"/>
                <w:sz w:val="24"/>
                <w:szCs w:val="24"/>
                <w:highlight w:val="none"/>
                <w:lang w:val="en-US" w:eastAsia="zh-CN" w:bidi="ar"/>
              </w:rPr>
              <w:t>-14</w:t>
            </w:r>
            <w:r>
              <w:rPr>
                <w:rFonts w:hint="default" w:ascii="Times New Roman" w:hAnsi="Times New Roman" w:eastAsia="宋体" w:cs="Times New Roman"/>
                <w:b w:val="0"/>
                <w:bCs w:val="0"/>
                <w:color w:val="auto"/>
                <w:kern w:val="0"/>
                <w:sz w:val="24"/>
                <w:szCs w:val="24"/>
                <w:highlight w:val="none"/>
                <w:lang w:val="en-US" w:eastAsia="zh-CN" w:bidi="ar"/>
              </w:rPr>
              <w:t>的达标分析一览表，项目的生活污水排放口浓度符合进水要求。</w:t>
            </w:r>
          </w:p>
          <w:p w14:paraId="4FD8105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w:t>
            </w:r>
            <w:r>
              <w:rPr>
                <w:rFonts w:hint="eastAsia"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lang w:val="en-US" w:eastAsia="zh-CN"/>
              </w:rPr>
              <w:t>）纳污范围</w:t>
            </w:r>
          </w:p>
          <w:p w14:paraId="64AFB20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175"/>
              <w:textAlignment w:val="auto"/>
              <w:rPr>
                <w:rFonts w:hint="default" w:ascii="Times New Roman" w:hAnsi="Times New Roman" w:eastAsia="宋体" w:cs="Times New Roman"/>
                <w:b w:val="0"/>
                <w:bCs w:val="0"/>
                <w:color w:val="auto"/>
                <w:kern w:val="0"/>
                <w:sz w:val="24"/>
                <w:szCs w:val="24"/>
                <w:highlight w:val="none"/>
                <w:lang w:val="en-US" w:eastAsia="zh-CN" w:bidi="ar"/>
              </w:rPr>
            </w:pPr>
            <w:r>
              <w:rPr>
                <w:rFonts w:hint="default" w:ascii="Times New Roman" w:hAnsi="Times New Roman" w:eastAsia="宋体" w:cs="Times New Roman"/>
                <w:b w:val="0"/>
                <w:bCs w:val="0"/>
                <w:color w:val="auto"/>
                <w:kern w:val="0"/>
                <w:sz w:val="24"/>
                <w:szCs w:val="24"/>
                <w:highlight w:val="none"/>
                <w:lang w:val="en-US" w:eastAsia="zh-CN" w:bidi="ar"/>
              </w:rPr>
              <w:t>广东阳东经济开发区污水处理厂二期工程的纳污范围主要是阳东经济开发区范围内以及涵盖北惯镇污水进入污水处理厂，纳污面积约为14平方公里，处理污水类型为生活污水及工业废水。本项目属于阳东经济开发区范围内，且所在区域已建成污水处理管网并投入使用。</w:t>
            </w:r>
          </w:p>
          <w:p w14:paraId="2ED80FC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480" w:leftChars="0" w:right="0"/>
              <w:textAlignment w:val="auto"/>
              <w:rPr>
                <w:rFonts w:hint="default" w:ascii="Times New Roman" w:hAnsi="Times New Roman" w:eastAsia="宋体" w:cs="Times New Roman"/>
                <w:b/>
                <w:bCs/>
                <w:color w:val="auto"/>
                <w:kern w:val="0"/>
                <w:sz w:val="24"/>
                <w:szCs w:val="24"/>
                <w:highlight w:val="none"/>
                <w:lang w:val="en-US" w:eastAsia="zh-CN" w:bidi="ar"/>
              </w:rPr>
            </w:pPr>
            <w:r>
              <w:rPr>
                <w:rFonts w:hint="default" w:ascii="Times New Roman" w:hAnsi="Times New Roman" w:eastAsia="宋体" w:cs="Times New Roman"/>
                <w:b/>
                <w:bCs/>
                <w:color w:val="auto"/>
                <w:kern w:val="0"/>
                <w:sz w:val="24"/>
                <w:szCs w:val="24"/>
                <w:highlight w:val="none"/>
                <w:lang w:val="en-US" w:eastAsia="zh-CN" w:bidi="ar"/>
              </w:rPr>
              <w:t>综上所述，项目依托集中污水处理厂可行。</w:t>
            </w:r>
          </w:p>
          <w:p w14:paraId="01E55E4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Times New Roman" w:hAnsi="Times New Roman" w:eastAsia="宋体" w:cs="Times New Roman"/>
                <w:b/>
                <w:bCs/>
                <w:color w:val="auto"/>
                <w:sz w:val="24"/>
                <w:szCs w:val="32"/>
                <w:highlight w:val="none"/>
              </w:rPr>
            </w:pPr>
            <w:r>
              <w:rPr>
                <w:rFonts w:hint="eastAsia" w:ascii="Times New Roman" w:hAnsi="Times New Roman" w:cs="Times New Roman"/>
                <w:color w:val="auto"/>
                <w:highlight w:val="none"/>
                <w:lang w:val="en-US" w:eastAsia="zh-CN"/>
              </w:rPr>
              <w:t xml:space="preserve">    </w:t>
            </w:r>
            <w:r>
              <w:rPr>
                <w:rFonts w:hint="eastAsia" w:ascii="Times New Roman" w:hAnsi="Times New Roman" w:eastAsia="宋体" w:cs="Times New Roman"/>
                <w:b/>
                <w:bCs/>
                <w:color w:val="auto"/>
                <w:sz w:val="24"/>
                <w:szCs w:val="32"/>
                <w:highlight w:val="none"/>
                <w:lang w:val="en-US" w:eastAsia="zh-CN"/>
              </w:rPr>
              <w:t>三、</w:t>
            </w:r>
            <w:r>
              <w:rPr>
                <w:rFonts w:hint="default" w:ascii="Times New Roman" w:hAnsi="Times New Roman" w:eastAsia="宋体" w:cs="Times New Roman"/>
                <w:b/>
                <w:bCs/>
                <w:color w:val="auto"/>
                <w:sz w:val="24"/>
                <w:szCs w:val="32"/>
                <w:highlight w:val="none"/>
                <w:lang w:val="en-US" w:eastAsia="zh-CN"/>
              </w:rPr>
              <w:t>噪声污染源</w:t>
            </w:r>
          </w:p>
          <w:p w14:paraId="4036EC23">
            <w:pPr>
              <w:pStyle w:val="60"/>
              <w:spacing w:line="360" w:lineRule="auto"/>
              <w:ind w:firstLine="482"/>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1、噪声源强</w:t>
            </w:r>
          </w:p>
          <w:p w14:paraId="408FD3DF">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噪声源主要来源于设备运行时产生的噪声，高噪声设备主要为四色胶印机、六色胶印机、砍纸机、自动贴角机、自动成型机、过油机、自动糊盒机、自动啤机、手动啤机、模切机、裱卡机、裱坑机、开槽机、打包机、风机等产生的噪声，噪声源强在6</w:t>
            </w:r>
            <w:r>
              <w:rPr>
                <w:rFonts w:hint="eastAsia" w:cs="Times New Roman"/>
                <w:color w:val="auto"/>
                <w:sz w:val="24"/>
                <w:highlight w:val="none"/>
                <w:lang w:val="en-US" w:eastAsia="zh-CN"/>
              </w:rPr>
              <w:t>5</w:t>
            </w:r>
            <w:r>
              <w:rPr>
                <w:rFonts w:hint="default" w:ascii="Times New Roman" w:hAnsi="Times New Roman" w:cs="Times New Roman"/>
                <w:color w:val="auto"/>
                <w:sz w:val="24"/>
                <w:highlight w:val="none"/>
              </w:rPr>
              <w:t>～85dB(A)之间。根据《噪声与振动控制工程手册》（机械工业出版社）：墙体隔声效果可以达到10~40dB（A），加装减振底座的降噪量在5~8dB（A）；本评价取基础减振降噪效果为6.5dB（A），墙体隔声的降噪效果为25dB（A），因此总体降噪效果为31.5dB（A），项目主要设备噪声源强如下表。</w:t>
            </w:r>
          </w:p>
          <w:p w14:paraId="6D595ED8">
            <w:pPr>
              <w:tabs>
                <w:tab w:val="right" w:pos="9069"/>
              </w:tabs>
              <w:adjustRightInd w:val="0"/>
              <w:snapToGrid w:val="0"/>
              <w:spacing w:line="240" w:lineRule="auto"/>
              <w:ind w:firstLine="422" w:firstLineChars="20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表4-1</w:t>
            </w:r>
            <w:r>
              <w:rPr>
                <w:rFonts w:hint="eastAsia" w:cs="Times New Roman"/>
                <w:b/>
                <w:bCs/>
                <w:color w:val="auto"/>
                <w:szCs w:val="21"/>
                <w:highlight w:val="none"/>
                <w:lang w:val="en-US" w:eastAsia="zh-CN"/>
              </w:rPr>
              <w:t>4</w:t>
            </w:r>
            <w:r>
              <w:rPr>
                <w:rFonts w:hint="default" w:ascii="Times New Roman" w:hAnsi="Times New Roman" w:cs="Times New Roman"/>
                <w:b/>
                <w:bCs/>
                <w:color w:val="auto"/>
                <w:szCs w:val="21"/>
                <w:highlight w:val="none"/>
              </w:rPr>
              <w:t xml:space="preserve">  本项目营运期主要噪声源强一览表单位：dB（A）</w:t>
            </w:r>
          </w:p>
          <w:tbl>
            <w:tblPr>
              <w:tblStyle w:val="31"/>
              <w:tblW w:w="793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80"/>
              <w:gridCol w:w="1289"/>
              <w:gridCol w:w="747"/>
              <w:gridCol w:w="600"/>
              <w:gridCol w:w="568"/>
              <w:gridCol w:w="1137"/>
              <w:gridCol w:w="673"/>
              <w:gridCol w:w="357"/>
              <w:gridCol w:w="790"/>
              <w:gridCol w:w="631"/>
              <w:gridCol w:w="664"/>
            </w:tblGrid>
            <w:tr w14:paraId="578E74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480" w:type="dxa"/>
                  <w:vMerge w:val="restart"/>
                  <w:noWrap w:val="0"/>
                  <w:vAlign w:val="center"/>
                </w:tcPr>
                <w:p w14:paraId="28FE07F9">
                  <w:pPr>
                    <w:adjustRightInd w:val="0"/>
                    <w:snapToGrid w:val="0"/>
                    <w:spacing w:line="240" w:lineRule="auto"/>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序号</w:t>
                  </w:r>
                </w:p>
              </w:tc>
              <w:tc>
                <w:tcPr>
                  <w:tcW w:w="1289" w:type="dxa"/>
                  <w:vMerge w:val="restart"/>
                  <w:noWrap w:val="0"/>
                  <w:vAlign w:val="center"/>
                </w:tcPr>
                <w:p w14:paraId="61E19BE8">
                  <w:pPr>
                    <w:adjustRightInd w:val="0"/>
                    <w:snapToGrid w:val="0"/>
                    <w:spacing w:line="240" w:lineRule="auto"/>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设备名称</w:t>
                  </w:r>
                </w:p>
              </w:tc>
              <w:tc>
                <w:tcPr>
                  <w:tcW w:w="747" w:type="dxa"/>
                  <w:vMerge w:val="restart"/>
                  <w:noWrap w:val="0"/>
                  <w:vAlign w:val="center"/>
                </w:tcPr>
                <w:p w14:paraId="23DFC314">
                  <w:pPr>
                    <w:adjustRightInd w:val="0"/>
                    <w:snapToGrid w:val="0"/>
                    <w:spacing w:line="240" w:lineRule="auto"/>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数量</w:t>
                  </w:r>
                </w:p>
              </w:tc>
              <w:tc>
                <w:tcPr>
                  <w:tcW w:w="600" w:type="dxa"/>
                  <w:vMerge w:val="restart"/>
                  <w:noWrap w:val="0"/>
                  <w:vAlign w:val="center"/>
                </w:tcPr>
                <w:p w14:paraId="1B03D08F">
                  <w:pPr>
                    <w:autoSpaceDE w:val="0"/>
                    <w:autoSpaceDN w:val="0"/>
                    <w:spacing w:line="240" w:lineRule="auto"/>
                    <w:jc w:val="center"/>
                    <w:rPr>
                      <w:rFonts w:hint="default" w:ascii="Times New Roman" w:hAnsi="Times New Roman" w:eastAsia="Times New Roman" w:cs="Times New Roman"/>
                      <w:b/>
                      <w:bCs/>
                      <w:color w:val="auto"/>
                      <w:highlight w:val="none"/>
                    </w:rPr>
                  </w:pPr>
                  <w:r>
                    <w:rPr>
                      <w:rFonts w:hint="default" w:ascii="Times New Roman" w:hAnsi="Times New Roman" w:cs="Times New Roman"/>
                      <w:b/>
                      <w:bCs/>
                      <w:color w:val="auto"/>
                      <w:highlight w:val="none"/>
                    </w:rPr>
                    <w:t>声</w:t>
                  </w:r>
                  <w:r>
                    <w:rPr>
                      <w:rFonts w:hint="default" w:ascii="Times New Roman" w:hAnsi="Times New Roman" w:eastAsia="Times New Roman" w:cs="Times New Roman"/>
                      <w:b/>
                      <w:bCs/>
                      <w:color w:val="auto"/>
                      <w:highlight w:val="none"/>
                    </w:rPr>
                    <w:t>源</w:t>
                  </w:r>
                </w:p>
                <w:p w14:paraId="685AAB7E">
                  <w:pPr>
                    <w:adjustRightInd w:val="0"/>
                    <w:snapToGrid w:val="0"/>
                    <w:spacing w:line="240" w:lineRule="auto"/>
                    <w:jc w:val="center"/>
                    <w:rPr>
                      <w:rFonts w:hint="default" w:ascii="Times New Roman" w:hAnsi="Times New Roman" w:cs="Times New Roman"/>
                      <w:b/>
                      <w:bCs/>
                      <w:color w:val="auto"/>
                      <w:highlight w:val="none"/>
                    </w:rPr>
                  </w:pPr>
                  <w:r>
                    <w:rPr>
                      <w:rFonts w:hint="default" w:ascii="Times New Roman" w:hAnsi="Times New Roman" w:eastAsia="Times New Roman" w:cs="Times New Roman"/>
                      <w:b/>
                      <w:bCs/>
                      <w:color w:val="auto"/>
                      <w:highlight w:val="none"/>
                    </w:rPr>
                    <w:t>类型</w:t>
                  </w:r>
                </w:p>
              </w:tc>
              <w:tc>
                <w:tcPr>
                  <w:tcW w:w="2378" w:type="dxa"/>
                  <w:gridSpan w:val="3"/>
                  <w:noWrap w:val="0"/>
                  <w:vAlign w:val="center"/>
                </w:tcPr>
                <w:p w14:paraId="62233A20">
                  <w:pPr>
                    <w:adjustRightInd w:val="0"/>
                    <w:snapToGrid w:val="0"/>
                    <w:spacing w:line="240" w:lineRule="auto"/>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噪声源强</w:t>
                  </w:r>
                </w:p>
              </w:tc>
              <w:tc>
                <w:tcPr>
                  <w:tcW w:w="1147" w:type="dxa"/>
                  <w:gridSpan w:val="2"/>
                  <w:noWrap w:val="0"/>
                  <w:vAlign w:val="center"/>
                </w:tcPr>
                <w:p w14:paraId="1E60F3D5">
                  <w:pPr>
                    <w:adjustRightInd w:val="0"/>
                    <w:snapToGrid w:val="0"/>
                    <w:spacing w:line="240" w:lineRule="auto"/>
                    <w:jc w:val="center"/>
                    <w:rPr>
                      <w:rFonts w:hint="default" w:ascii="Times New Roman" w:hAnsi="Times New Roman" w:cs="Times New Roman"/>
                      <w:b/>
                      <w:bCs/>
                      <w:color w:val="auto"/>
                      <w:highlight w:val="none"/>
                    </w:rPr>
                  </w:pPr>
                  <w:r>
                    <w:rPr>
                      <w:rFonts w:hint="default" w:ascii="Times New Roman" w:hAnsi="Times New Roman" w:eastAsia="Times New Roman" w:cs="Times New Roman"/>
                      <w:b/>
                      <w:bCs/>
                      <w:color w:val="auto"/>
                      <w:highlight w:val="none"/>
                    </w:rPr>
                    <w:t>降噪措施</w:t>
                  </w:r>
                </w:p>
              </w:tc>
              <w:tc>
                <w:tcPr>
                  <w:tcW w:w="631" w:type="dxa"/>
                  <w:vMerge w:val="restart"/>
                  <w:noWrap w:val="0"/>
                  <w:vAlign w:val="center"/>
                </w:tcPr>
                <w:p w14:paraId="1B86A96B">
                  <w:pPr>
                    <w:adjustRightInd w:val="0"/>
                    <w:snapToGrid w:val="0"/>
                    <w:spacing w:line="240" w:lineRule="auto"/>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噪声排放值</w:t>
                  </w:r>
                </w:p>
              </w:tc>
              <w:tc>
                <w:tcPr>
                  <w:tcW w:w="664" w:type="dxa"/>
                  <w:vMerge w:val="restart"/>
                  <w:noWrap w:val="0"/>
                  <w:vAlign w:val="center"/>
                </w:tcPr>
                <w:p w14:paraId="6864A1F7">
                  <w:pPr>
                    <w:adjustRightInd w:val="0"/>
                    <w:snapToGrid w:val="0"/>
                    <w:spacing w:line="240" w:lineRule="auto"/>
                    <w:jc w:val="center"/>
                    <w:rPr>
                      <w:rFonts w:hint="default" w:ascii="Times New Roman" w:hAnsi="Times New Roman" w:eastAsia="宋体" w:cs="Times New Roman"/>
                      <w:b/>
                      <w:bCs/>
                      <w:color w:val="auto"/>
                      <w:highlight w:val="none"/>
                      <w:lang w:val="en-US" w:eastAsia="zh-CN"/>
                    </w:rPr>
                  </w:pPr>
                  <w:r>
                    <w:rPr>
                      <w:rFonts w:hint="eastAsia" w:ascii="Times New Roman" w:hAnsi="Times New Roman" w:cs="Times New Roman"/>
                      <w:b/>
                      <w:bCs/>
                      <w:color w:val="auto"/>
                      <w:highlight w:val="none"/>
                      <w:lang w:val="en-US" w:eastAsia="zh-CN"/>
                    </w:rPr>
                    <w:t>工作时间h/d</w:t>
                  </w:r>
                </w:p>
              </w:tc>
            </w:tr>
            <w:tr w14:paraId="524682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8" w:hRule="atLeast"/>
                <w:jc w:val="center"/>
              </w:trPr>
              <w:tc>
                <w:tcPr>
                  <w:tcW w:w="480" w:type="dxa"/>
                  <w:vMerge w:val="continue"/>
                  <w:noWrap w:val="0"/>
                  <w:vAlign w:val="center"/>
                </w:tcPr>
                <w:p w14:paraId="5CC023D0">
                  <w:pPr>
                    <w:adjustRightInd w:val="0"/>
                    <w:snapToGrid w:val="0"/>
                    <w:spacing w:line="240" w:lineRule="auto"/>
                    <w:jc w:val="center"/>
                    <w:rPr>
                      <w:rFonts w:hint="default" w:ascii="Times New Roman" w:hAnsi="Times New Roman" w:cs="Times New Roman"/>
                      <w:b/>
                      <w:bCs/>
                      <w:color w:val="auto"/>
                      <w:highlight w:val="none"/>
                    </w:rPr>
                  </w:pPr>
                </w:p>
              </w:tc>
              <w:tc>
                <w:tcPr>
                  <w:tcW w:w="1289" w:type="dxa"/>
                  <w:vMerge w:val="continue"/>
                  <w:noWrap w:val="0"/>
                  <w:vAlign w:val="center"/>
                </w:tcPr>
                <w:p w14:paraId="42A0D90E">
                  <w:pPr>
                    <w:adjustRightInd w:val="0"/>
                    <w:snapToGrid w:val="0"/>
                    <w:spacing w:line="240" w:lineRule="auto"/>
                    <w:jc w:val="center"/>
                    <w:rPr>
                      <w:rFonts w:hint="default" w:ascii="Times New Roman" w:hAnsi="Times New Roman" w:cs="Times New Roman"/>
                      <w:b/>
                      <w:bCs/>
                      <w:color w:val="auto"/>
                      <w:highlight w:val="none"/>
                    </w:rPr>
                  </w:pPr>
                </w:p>
              </w:tc>
              <w:tc>
                <w:tcPr>
                  <w:tcW w:w="747" w:type="dxa"/>
                  <w:vMerge w:val="continue"/>
                  <w:noWrap w:val="0"/>
                  <w:vAlign w:val="center"/>
                </w:tcPr>
                <w:p w14:paraId="5B2F038C">
                  <w:pPr>
                    <w:adjustRightInd w:val="0"/>
                    <w:snapToGrid w:val="0"/>
                    <w:spacing w:line="240" w:lineRule="auto"/>
                    <w:jc w:val="center"/>
                    <w:rPr>
                      <w:rFonts w:hint="default" w:ascii="Times New Roman" w:hAnsi="Times New Roman" w:cs="Times New Roman"/>
                      <w:b/>
                      <w:bCs/>
                      <w:color w:val="auto"/>
                      <w:highlight w:val="none"/>
                    </w:rPr>
                  </w:pPr>
                </w:p>
              </w:tc>
              <w:tc>
                <w:tcPr>
                  <w:tcW w:w="600" w:type="dxa"/>
                  <w:vMerge w:val="continue"/>
                  <w:noWrap w:val="0"/>
                  <w:vAlign w:val="center"/>
                </w:tcPr>
                <w:p w14:paraId="7158023D">
                  <w:pPr>
                    <w:adjustRightInd w:val="0"/>
                    <w:snapToGrid w:val="0"/>
                    <w:spacing w:line="240" w:lineRule="auto"/>
                    <w:jc w:val="center"/>
                    <w:rPr>
                      <w:rFonts w:hint="default" w:ascii="Times New Roman" w:hAnsi="Times New Roman" w:cs="Times New Roman"/>
                      <w:b/>
                      <w:bCs/>
                      <w:color w:val="auto"/>
                      <w:highlight w:val="none"/>
                    </w:rPr>
                  </w:pPr>
                </w:p>
              </w:tc>
              <w:tc>
                <w:tcPr>
                  <w:tcW w:w="568" w:type="dxa"/>
                  <w:noWrap w:val="0"/>
                  <w:vAlign w:val="center"/>
                </w:tcPr>
                <w:p w14:paraId="75596CFF">
                  <w:pPr>
                    <w:autoSpaceDE w:val="0"/>
                    <w:autoSpaceDN w:val="0"/>
                    <w:spacing w:line="240" w:lineRule="auto"/>
                    <w:jc w:val="center"/>
                    <w:rPr>
                      <w:rFonts w:hint="default" w:ascii="Times New Roman" w:hAnsi="Times New Roman" w:cs="Times New Roman"/>
                      <w:b/>
                      <w:bCs/>
                      <w:color w:val="auto"/>
                      <w:highlight w:val="none"/>
                    </w:rPr>
                  </w:pPr>
                  <w:r>
                    <w:rPr>
                      <w:rFonts w:hint="default" w:ascii="Times New Roman" w:hAnsi="Times New Roman" w:eastAsia="Times New Roman" w:cs="Times New Roman"/>
                      <w:b/>
                      <w:bCs/>
                      <w:color w:val="auto"/>
                      <w:highlight w:val="none"/>
                    </w:rPr>
                    <w:t>核算方法</w:t>
                  </w:r>
                </w:p>
              </w:tc>
              <w:tc>
                <w:tcPr>
                  <w:tcW w:w="1137" w:type="dxa"/>
                  <w:noWrap w:val="0"/>
                  <w:vAlign w:val="center"/>
                </w:tcPr>
                <w:p w14:paraId="15FE1FD5">
                  <w:pPr>
                    <w:adjustRightInd w:val="0"/>
                    <w:snapToGrid w:val="0"/>
                    <w:spacing w:line="240" w:lineRule="auto"/>
                    <w:jc w:val="both"/>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单台治理前1m处声压级</w:t>
                  </w:r>
                </w:p>
              </w:tc>
              <w:tc>
                <w:tcPr>
                  <w:tcW w:w="673" w:type="dxa"/>
                  <w:noWrap w:val="0"/>
                  <w:vAlign w:val="center"/>
                </w:tcPr>
                <w:p w14:paraId="0FA37AD3">
                  <w:pPr>
                    <w:adjustRightInd w:val="0"/>
                    <w:snapToGrid w:val="0"/>
                    <w:spacing w:line="240" w:lineRule="auto"/>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噪声叠加值</w:t>
                  </w:r>
                </w:p>
              </w:tc>
              <w:tc>
                <w:tcPr>
                  <w:tcW w:w="357" w:type="dxa"/>
                  <w:noWrap w:val="0"/>
                  <w:vAlign w:val="center"/>
                </w:tcPr>
                <w:p w14:paraId="7E6F4927">
                  <w:pPr>
                    <w:autoSpaceDE w:val="0"/>
                    <w:autoSpaceDN w:val="0"/>
                    <w:spacing w:line="240" w:lineRule="auto"/>
                    <w:jc w:val="center"/>
                    <w:rPr>
                      <w:rFonts w:hint="default" w:ascii="Times New Roman" w:hAnsi="Times New Roman" w:eastAsia="Times New Roman" w:cs="Times New Roman"/>
                      <w:b/>
                      <w:bCs/>
                      <w:color w:val="auto"/>
                      <w:highlight w:val="none"/>
                    </w:rPr>
                  </w:pPr>
                  <w:r>
                    <w:rPr>
                      <w:rFonts w:hint="default" w:ascii="Times New Roman" w:hAnsi="Times New Roman" w:eastAsia="Times New Roman" w:cs="Times New Roman"/>
                      <w:b/>
                      <w:bCs/>
                      <w:color w:val="auto"/>
                      <w:highlight w:val="none"/>
                    </w:rPr>
                    <w:t>工艺</w:t>
                  </w:r>
                </w:p>
              </w:tc>
              <w:tc>
                <w:tcPr>
                  <w:tcW w:w="790" w:type="dxa"/>
                  <w:noWrap w:val="0"/>
                  <w:vAlign w:val="center"/>
                </w:tcPr>
                <w:p w14:paraId="5DD579E7">
                  <w:pPr>
                    <w:autoSpaceDE w:val="0"/>
                    <w:autoSpaceDN w:val="0"/>
                    <w:spacing w:line="240" w:lineRule="auto"/>
                    <w:jc w:val="center"/>
                    <w:rPr>
                      <w:rFonts w:hint="default" w:ascii="Times New Roman" w:hAnsi="Times New Roman" w:eastAsia="Times New Roman" w:cs="Times New Roman"/>
                      <w:b/>
                      <w:bCs/>
                      <w:color w:val="auto"/>
                      <w:highlight w:val="none"/>
                    </w:rPr>
                  </w:pPr>
                  <w:r>
                    <w:rPr>
                      <w:rFonts w:hint="default" w:ascii="Times New Roman" w:hAnsi="Times New Roman" w:eastAsia="Times New Roman" w:cs="Times New Roman"/>
                      <w:b/>
                      <w:bCs/>
                      <w:color w:val="auto"/>
                      <w:highlight w:val="none"/>
                    </w:rPr>
                    <w:t>降噪效果</w:t>
                  </w:r>
                </w:p>
              </w:tc>
              <w:tc>
                <w:tcPr>
                  <w:tcW w:w="631" w:type="dxa"/>
                  <w:vMerge w:val="continue"/>
                  <w:noWrap w:val="0"/>
                  <w:vAlign w:val="center"/>
                </w:tcPr>
                <w:p w14:paraId="464E3095">
                  <w:pPr>
                    <w:adjustRightInd w:val="0"/>
                    <w:snapToGrid w:val="0"/>
                    <w:spacing w:line="240" w:lineRule="auto"/>
                    <w:jc w:val="center"/>
                    <w:rPr>
                      <w:rFonts w:hint="default" w:ascii="Times New Roman" w:hAnsi="Times New Roman" w:cs="Times New Roman"/>
                      <w:b/>
                      <w:bCs/>
                      <w:color w:val="auto"/>
                      <w:highlight w:val="none"/>
                    </w:rPr>
                  </w:pPr>
                </w:p>
              </w:tc>
              <w:tc>
                <w:tcPr>
                  <w:tcW w:w="664" w:type="dxa"/>
                  <w:vMerge w:val="continue"/>
                  <w:noWrap w:val="0"/>
                  <w:vAlign w:val="center"/>
                </w:tcPr>
                <w:p w14:paraId="5A738CFE">
                  <w:pPr>
                    <w:adjustRightInd w:val="0"/>
                    <w:snapToGrid w:val="0"/>
                    <w:spacing w:line="240" w:lineRule="auto"/>
                    <w:jc w:val="center"/>
                    <w:rPr>
                      <w:rFonts w:hint="default" w:ascii="Times New Roman" w:hAnsi="Times New Roman" w:cs="Times New Roman"/>
                      <w:b/>
                      <w:bCs/>
                      <w:color w:val="auto"/>
                      <w:highlight w:val="none"/>
                    </w:rPr>
                  </w:pPr>
                </w:p>
              </w:tc>
            </w:tr>
            <w:tr w14:paraId="655239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80" w:type="dxa"/>
                  <w:noWrap w:val="0"/>
                  <w:vAlign w:val="center"/>
                </w:tcPr>
                <w:p w14:paraId="2F8A4E4B">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rPr>
                    <w:t>1</w:t>
                  </w:r>
                </w:p>
              </w:tc>
              <w:tc>
                <w:tcPr>
                  <w:tcW w:w="1289" w:type="dxa"/>
                  <w:noWrap w:val="0"/>
                  <w:vAlign w:val="center"/>
                </w:tcPr>
                <w:p w14:paraId="087CF002">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val="en-US" w:eastAsia="zh-CN"/>
                    </w:rPr>
                    <w:t>四色胶印机</w:t>
                  </w:r>
                </w:p>
              </w:tc>
              <w:tc>
                <w:tcPr>
                  <w:tcW w:w="747" w:type="dxa"/>
                  <w:noWrap w:val="0"/>
                  <w:vAlign w:val="center"/>
                </w:tcPr>
                <w:p w14:paraId="1C308163">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val="en-US" w:eastAsia="zh-CN"/>
                    </w:rPr>
                    <w:t>1</w:t>
                  </w:r>
                </w:p>
              </w:tc>
              <w:tc>
                <w:tcPr>
                  <w:tcW w:w="600" w:type="dxa"/>
                  <w:noWrap/>
                  <w:vAlign w:val="center"/>
                </w:tcPr>
                <w:p w14:paraId="32CD1660">
                  <w:pPr>
                    <w:adjustRightInd w:val="0"/>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频发</w:t>
                  </w:r>
                </w:p>
              </w:tc>
              <w:tc>
                <w:tcPr>
                  <w:tcW w:w="568" w:type="dxa"/>
                  <w:vMerge w:val="restart"/>
                  <w:noWrap/>
                  <w:vAlign w:val="center"/>
                </w:tcPr>
                <w:p w14:paraId="66E74B66">
                  <w:pPr>
                    <w:adjustRightInd w:val="0"/>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类比法</w:t>
                  </w:r>
                </w:p>
              </w:tc>
              <w:tc>
                <w:tcPr>
                  <w:tcW w:w="1137" w:type="dxa"/>
                  <w:noWrap/>
                  <w:vAlign w:val="center"/>
                </w:tcPr>
                <w:p w14:paraId="59DAA0F1">
                  <w:pPr>
                    <w:adjustRightInd w:val="0"/>
                    <w:snapToGrid w:val="0"/>
                    <w:spacing w:line="240" w:lineRule="auto"/>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80</w:t>
                  </w:r>
                </w:p>
              </w:tc>
              <w:tc>
                <w:tcPr>
                  <w:tcW w:w="673" w:type="dxa"/>
                  <w:noWrap/>
                  <w:vAlign w:val="center"/>
                </w:tcPr>
                <w:p w14:paraId="530F28D7">
                  <w:pPr>
                    <w:adjustRightInd w:val="0"/>
                    <w:snapToGrid w:val="0"/>
                    <w:spacing w:line="240" w:lineRule="auto"/>
                    <w:jc w:val="center"/>
                    <w:rPr>
                      <w:rFonts w:hint="default" w:ascii="Times New Roman" w:hAnsi="Times New Roman" w:cs="Times New Roman"/>
                      <w:color w:val="auto"/>
                      <w:highlight w:val="none"/>
                    </w:rPr>
                  </w:pPr>
                  <w:r>
                    <w:rPr>
                      <w:rFonts w:hint="eastAsia" w:cs="Times New Roman"/>
                      <w:color w:val="auto"/>
                      <w:highlight w:val="none"/>
                      <w:lang w:val="en-US" w:eastAsia="zh-CN"/>
                    </w:rPr>
                    <w:t>80</w:t>
                  </w:r>
                </w:p>
              </w:tc>
              <w:tc>
                <w:tcPr>
                  <w:tcW w:w="357" w:type="dxa"/>
                  <w:vMerge w:val="restart"/>
                  <w:noWrap w:val="0"/>
                  <w:vAlign w:val="center"/>
                </w:tcPr>
                <w:p w14:paraId="1B99C4AF">
                  <w:pPr>
                    <w:adjustRightInd w:val="0"/>
                    <w:snapToGrid w:val="0"/>
                    <w:spacing w:line="240" w:lineRule="auto"/>
                    <w:jc w:val="center"/>
                    <w:rPr>
                      <w:rFonts w:hint="default" w:ascii="Times New Roman" w:hAnsi="Times New Roman" w:cs="Times New Roman"/>
                      <w:color w:val="auto"/>
                      <w:highlight w:val="none"/>
                    </w:rPr>
                  </w:pPr>
                  <w:r>
                    <w:rPr>
                      <w:rFonts w:hint="default" w:ascii="Times New Roman" w:hAnsi="Times New Roman" w:eastAsia="Times New Roman" w:cs="Times New Roman"/>
                      <w:color w:val="auto"/>
                      <w:highlight w:val="none"/>
                    </w:rPr>
                    <w:t>墙体隔声、减振</w:t>
                  </w:r>
                </w:p>
              </w:tc>
              <w:tc>
                <w:tcPr>
                  <w:tcW w:w="790" w:type="dxa"/>
                  <w:noWrap w:val="0"/>
                  <w:vAlign w:val="center"/>
                </w:tcPr>
                <w:p w14:paraId="14CB5F9B">
                  <w:pPr>
                    <w:adjustRightInd w:val="0"/>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31.5</w:t>
                  </w:r>
                </w:p>
              </w:tc>
              <w:tc>
                <w:tcPr>
                  <w:tcW w:w="631" w:type="dxa"/>
                  <w:noWrap w:val="0"/>
                  <w:vAlign w:val="center"/>
                </w:tcPr>
                <w:p w14:paraId="213346A7">
                  <w:pPr>
                    <w:keepNext w:val="0"/>
                    <w:keepLines w:val="0"/>
                    <w:widowControl/>
                    <w:suppressLineNumbers w:val="0"/>
                    <w:jc w:val="center"/>
                    <w:textAlignment w:val="center"/>
                    <w:rPr>
                      <w:rFonts w:hint="eastAsia" w:ascii="Times New Roman" w:hAnsi="Times New Roman" w:eastAsia="宋体" w:cs="Times New Roman"/>
                      <w:color w:val="auto"/>
                      <w:kern w:val="0"/>
                      <w:szCs w:val="21"/>
                      <w:highlight w:val="none"/>
                      <w:lang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48.5</w:t>
                  </w:r>
                </w:p>
              </w:tc>
              <w:tc>
                <w:tcPr>
                  <w:tcW w:w="664" w:type="dxa"/>
                  <w:noWrap w:val="0"/>
                  <w:vAlign w:val="center"/>
                </w:tcPr>
                <w:p w14:paraId="3FDE636C">
                  <w:pPr>
                    <w:spacing w:line="240" w:lineRule="auto"/>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8</w:t>
                  </w:r>
                </w:p>
              </w:tc>
            </w:tr>
            <w:tr w14:paraId="4DFAD6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80" w:type="dxa"/>
                  <w:noWrap w:val="0"/>
                  <w:vAlign w:val="center"/>
                </w:tcPr>
                <w:p w14:paraId="698F7251">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rPr>
                    <w:t>2</w:t>
                  </w:r>
                </w:p>
              </w:tc>
              <w:tc>
                <w:tcPr>
                  <w:tcW w:w="1289" w:type="dxa"/>
                  <w:noWrap w:val="0"/>
                  <w:vAlign w:val="center"/>
                </w:tcPr>
                <w:p w14:paraId="7BE45496">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val="en-US" w:eastAsia="zh-CN"/>
                    </w:rPr>
                    <w:t>六色胶印机</w:t>
                  </w:r>
                </w:p>
              </w:tc>
              <w:tc>
                <w:tcPr>
                  <w:tcW w:w="747" w:type="dxa"/>
                  <w:noWrap w:val="0"/>
                  <w:vAlign w:val="center"/>
                </w:tcPr>
                <w:p w14:paraId="4A0BF579">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val="en-US" w:eastAsia="zh-CN"/>
                    </w:rPr>
                    <w:t>1</w:t>
                  </w:r>
                </w:p>
              </w:tc>
              <w:tc>
                <w:tcPr>
                  <w:tcW w:w="600" w:type="dxa"/>
                  <w:noWrap w:val="0"/>
                  <w:vAlign w:val="center"/>
                </w:tcPr>
                <w:p w14:paraId="35A15A77">
                  <w:pPr>
                    <w:adjustRightInd w:val="0"/>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频发</w:t>
                  </w:r>
                </w:p>
              </w:tc>
              <w:tc>
                <w:tcPr>
                  <w:tcW w:w="568" w:type="dxa"/>
                  <w:vMerge w:val="continue"/>
                  <w:noWrap w:val="0"/>
                  <w:vAlign w:val="center"/>
                </w:tcPr>
                <w:p w14:paraId="745578DD">
                  <w:pPr>
                    <w:adjustRightInd w:val="0"/>
                    <w:snapToGrid w:val="0"/>
                    <w:spacing w:line="240" w:lineRule="auto"/>
                    <w:jc w:val="center"/>
                    <w:rPr>
                      <w:rFonts w:hint="default" w:ascii="Times New Roman" w:hAnsi="Times New Roman" w:cs="Times New Roman"/>
                      <w:color w:val="auto"/>
                      <w:highlight w:val="none"/>
                    </w:rPr>
                  </w:pPr>
                </w:p>
              </w:tc>
              <w:tc>
                <w:tcPr>
                  <w:tcW w:w="1137" w:type="dxa"/>
                  <w:noWrap w:val="0"/>
                  <w:vAlign w:val="center"/>
                </w:tcPr>
                <w:p w14:paraId="15000FF2">
                  <w:pPr>
                    <w:adjustRightInd w:val="0"/>
                    <w:snapToGrid w:val="0"/>
                    <w:spacing w:line="240" w:lineRule="auto"/>
                    <w:jc w:val="center"/>
                    <w:rPr>
                      <w:rFonts w:hint="default" w:ascii="Times New Roman" w:hAnsi="Times New Roman" w:cs="Times New Roman"/>
                      <w:color w:val="auto"/>
                      <w:highlight w:val="none"/>
                    </w:rPr>
                  </w:pPr>
                  <w:r>
                    <w:rPr>
                      <w:rFonts w:hint="eastAsia" w:cs="Times New Roman"/>
                      <w:color w:val="auto"/>
                      <w:highlight w:val="none"/>
                      <w:lang w:val="en-US" w:eastAsia="zh-CN"/>
                    </w:rPr>
                    <w:t>80</w:t>
                  </w:r>
                </w:p>
              </w:tc>
              <w:tc>
                <w:tcPr>
                  <w:tcW w:w="673" w:type="dxa"/>
                  <w:noWrap w:val="0"/>
                  <w:vAlign w:val="center"/>
                </w:tcPr>
                <w:p w14:paraId="4B2168CD">
                  <w:pPr>
                    <w:adjustRightInd w:val="0"/>
                    <w:snapToGrid w:val="0"/>
                    <w:spacing w:line="240" w:lineRule="auto"/>
                    <w:jc w:val="center"/>
                    <w:rPr>
                      <w:rFonts w:hint="eastAsia" w:ascii="Times New Roman" w:hAnsi="Times New Roman" w:eastAsia="宋体" w:cs="Times New Roman"/>
                      <w:color w:val="auto"/>
                      <w:highlight w:val="none"/>
                      <w:lang w:eastAsia="zh-CN"/>
                    </w:rPr>
                  </w:pPr>
                  <w:r>
                    <w:rPr>
                      <w:rFonts w:hint="eastAsia" w:cs="Times New Roman"/>
                      <w:color w:val="auto"/>
                      <w:highlight w:val="none"/>
                      <w:lang w:val="en-US" w:eastAsia="zh-CN"/>
                    </w:rPr>
                    <w:t>80</w:t>
                  </w:r>
                </w:p>
              </w:tc>
              <w:tc>
                <w:tcPr>
                  <w:tcW w:w="357" w:type="dxa"/>
                  <w:vMerge w:val="continue"/>
                  <w:noWrap w:val="0"/>
                  <w:vAlign w:val="center"/>
                </w:tcPr>
                <w:p w14:paraId="3556C5AA">
                  <w:pPr>
                    <w:adjustRightInd w:val="0"/>
                    <w:snapToGrid w:val="0"/>
                    <w:spacing w:line="240" w:lineRule="auto"/>
                    <w:jc w:val="center"/>
                    <w:rPr>
                      <w:rFonts w:hint="default" w:ascii="Times New Roman" w:hAnsi="Times New Roman" w:cs="Times New Roman"/>
                      <w:color w:val="auto"/>
                      <w:highlight w:val="none"/>
                    </w:rPr>
                  </w:pPr>
                </w:p>
              </w:tc>
              <w:tc>
                <w:tcPr>
                  <w:tcW w:w="790" w:type="dxa"/>
                  <w:noWrap w:val="0"/>
                  <w:vAlign w:val="center"/>
                </w:tcPr>
                <w:p w14:paraId="2697BC37">
                  <w:pPr>
                    <w:adjustRightInd w:val="0"/>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31.5</w:t>
                  </w:r>
                </w:p>
              </w:tc>
              <w:tc>
                <w:tcPr>
                  <w:tcW w:w="631" w:type="dxa"/>
                  <w:noWrap w:val="0"/>
                  <w:vAlign w:val="center"/>
                </w:tcPr>
                <w:p w14:paraId="00B3AEB3">
                  <w:pPr>
                    <w:keepNext w:val="0"/>
                    <w:keepLines w:val="0"/>
                    <w:widowControl/>
                    <w:suppressLineNumbers w:val="0"/>
                    <w:jc w:val="center"/>
                    <w:textAlignment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48.5</w:t>
                  </w:r>
                </w:p>
              </w:tc>
              <w:tc>
                <w:tcPr>
                  <w:tcW w:w="664" w:type="dxa"/>
                  <w:noWrap w:val="0"/>
                  <w:vAlign w:val="center"/>
                </w:tcPr>
                <w:p w14:paraId="26D82289">
                  <w:pPr>
                    <w:spacing w:line="240" w:lineRule="auto"/>
                    <w:jc w:val="center"/>
                    <w:textAlignment w:val="center"/>
                    <w:rPr>
                      <w:rFonts w:hint="default" w:ascii="Times New Roman" w:hAnsi="Times New Roman" w:cs="Times New Roman"/>
                      <w:color w:val="auto"/>
                      <w:highlight w:val="none"/>
                      <w:lang w:val="en-US" w:eastAsia="zh-CN"/>
                    </w:rPr>
                  </w:pPr>
                  <w:r>
                    <w:rPr>
                      <w:rFonts w:hint="eastAsia" w:cs="Times New Roman"/>
                      <w:color w:val="auto"/>
                      <w:kern w:val="0"/>
                      <w:szCs w:val="21"/>
                      <w:highlight w:val="none"/>
                      <w:lang w:val="en-US" w:eastAsia="zh-CN" w:bidi="ar"/>
                    </w:rPr>
                    <w:t>8</w:t>
                  </w:r>
                </w:p>
              </w:tc>
            </w:tr>
            <w:tr w14:paraId="30A43D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80" w:type="dxa"/>
                  <w:noWrap w:val="0"/>
                  <w:vAlign w:val="center"/>
                </w:tcPr>
                <w:p w14:paraId="6EE51D80">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rPr>
                    <w:t>3</w:t>
                  </w:r>
                </w:p>
              </w:tc>
              <w:tc>
                <w:tcPr>
                  <w:tcW w:w="1289" w:type="dxa"/>
                  <w:noWrap w:val="0"/>
                  <w:vAlign w:val="center"/>
                </w:tcPr>
                <w:p w14:paraId="793E9662">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val="en-US" w:eastAsia="zh-CN"/>
                    </w:rPr>
                    <w:t>砍纸机</w:t>
                  </w:r>
                </w:p>
              </w:tc>
              <w:tc>
                <w:tcPr>
                  <w:tcW w:w="747" w:type="dxa"/>
                  <w:noWrap w:val="0"/>
                  <w:vAlign w:val="center"/>
                </w:tcPr>
                <w:p w14:paraId="2656778E">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val="en-US" w:eastAsia="zh-CN"/>
                    </w:rPr>
                    <w:t>1</w:t>
                  </w:r>
                </w:p>
              </w:tc>
              <w:tc>
                <w:tcPr>
                  <w:tcW w:w="600" w:type="dxa"/>
                  <w:noWrap w:val="0"/>
                  <w:vAlign w:val="center"/>
                </w:tcPr>
                <w:p w14:paraId="0E2F2208">
                  <w:pPr>
                    <w:adjustRightInd w:val="0"/>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频发</w:t>
                  </w:r>
                </w:p>
              </w:tc>
              <w:tc>
                <w:tcPr>
                  <w:tcW w:w="568" w:type="dxa"/>
                  <w:vMerge w:val="continue"/>
                  <w:noWrap w:val="0"/>
                  <w:vAlign w:val="center"/>
                </w:tcPr>
                <w:p w14:paraId="4A859D1A">
                  <w:pPr>
                    <w:adjustRightInd w:val="0"/>
                    <w:snapToGrid w:val="0"/>
                    <w:spacing w:line="240" w:lineRule="auto"/>
                    <w:jc w:val="center"/>
                    <w:rPr>
                      <w:rFonts w:hint="default" w:ascii="Times New Roman" w:hAnsi="Times New Roman" w:cs="Times New Roman"/>
                      <w:color w:val="auto"/>
                      <w:highlight w:val="none"/>
                    </w:rPr>
                  </w:pPr>
                </w:p>
              </w:tc>
              <w:tc>
                <w:tcPr>
                  <w:tcW w:w="1137" w:type="dxa"/>
                  <w:noWrap w:val="0"/>
                  <w:vAlign w:val="center"/>
                </w:tcPr>
                <w:p w14:paraId="2FEA0801">
                  <w:pPr>
                    <w:adjustRightInd w:val="0"/>
                    <w:snapToGrid w:val="0"/>
                    <w:spacing w:line="240" w:lineRule="auto"/>
                    <w:jc w:val="center"/>
                    <w:rPr>
                      <w:rFonts w:hint="default" w:ascii="Times New Roman" w:hAnsi="Times New Roman" w:cs="Times New Roman"/>
                      <w:color w:val="auto"/>
                      <w:highlight w:val="none"/>
                    </w:rPr>
                  </w:pPr>
                  <w:r>
                    <w:rPr>
                      <w:rFonts w:hint="eastAsia" w:cs="Times New Roman"/>
                      <w:color w:val="auto"/>
                      <w:highlight w:val="none"/>
                      <w:lang w:val="en-US" w:eastAsia="zh-CN"/>
                    </w:rPr>
                    <w:t>85</w:t>
                  </w:r>
                </w:p>
              </w:tc>
              <w:tc>
                <w:tcPr>
                  <w:tcW w:w="673" w:type="dxa"/>
                  <w:noWrap w:val="0"/>
                  <w:vAlign w:val="center"/>
                </w:tcPr>
                <w:p w14:paraId="7E1DD59C">
                  <w:pPr>
                    <w:adjustRightInd w:val="0"/>
                    <w:snapToGrid w:val="0"/>
                    <w:spacing w:line="240" w:lineRule="auto"/>
                    <w:jc w:val="center"/>
                    <w:rPr>
                      <w:rFonts w:hint="default" w:ascii="Times New Roman" w:hAnsi="Times New Roman" w:cs="Times New Roman"/>
                      <w:color w:val="auto"/>
                      <w:highlight w:val="none"/>
                    </w:rPr>
                  </w:pPr>
                  <w:r>
                    <w:rPr>
                      <w:rFonts w:hint="eastAsia" w:cs="Times New Roman"/>
                      <w:color w:val="auto"/>
                      <w:highlight w:val="none"/>
                      <w:lang w:val="en-US" w:eastAsia="zh-CN"/>
                    </w:rPr>
                    <w:t>85</w:t>
                  </w:r>
                </w:p>
              </w:tc>
              <w:tc>
                <w:tcPr>
                  <w:tcW w:w="357" w:type="dxa"/>
                  <w:vMerge w:val="continue"/>
                  <w:noWrap w:val="0"/>
                  <w:vAlign w:val="center"/>
                </w:tcPr>
                <w:p w14:paraId="65B17D50">
                  <w:pPr>
                    <w:adjustRightInd w:val="0"/>
                    <w:snapToGrid w:val="0"/>
                    <w:spacing w:line="240" w:lineRule="auto"/>
                    <w:jc w:val="center"/>
                    <w:rPr>
                      <w:rFonts w:hint="default" w:ascii="Times New Roman" w:hAnsi="Times New Roman" w:cs="Times New Roman"/>
                      <w:color w:val="auto"/>
                      <w:highlight w:val="none"/>
                    </w:rPr>
                  </w:pPr>
                </w:p>
              </w:tc>
              <w:tc>
                <w:tcPr>
                  <w:tcW w:w="790" w:type="dxa"/>
                  <w:noWrap w:val="0"/>
                  <w:vAlign w:val="center"/>
                </w:tcPr>
                <w:p w14:paraId="66CC199F">
                  <w:pPr>
                    <w:adjustRightInd w:val="0"/>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31.5</w:t>
                  </w:r>
                </w:p>
              </w:tc>
              <w:tc>
                <w:tcPr>
                  <w:tcW w:w="631" w:type="dxa"/>
                  <w:noWrap w:val="0"/>
                  <w:vAlign w:val="center"/>
                </w:tcPr>
                <w:p w14:paraId="74BEFBE8">
                  <w:pPr>
                    <w:keepNext w:val="0"/>
                    <w:keepLines w:val="0"/>
                    <w:widowControl/>
                    <w:suppressLineNumbers w:val="0"/>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53.5</w:t>
                  </w:r>
                </w:p>
              </w:tc>
              <w:tc>
                <w:tcPr>
                  <w:tcW w:w="664" w:type="dxa"/>
                  <w:noWrap w:val="0"/>
                  <w:vAlign w:val="center"/>
                </w:tcPr>
                <w:p w14:paraId="6D6A2FBD">
                  <w:pPr>
                    <w:spacing w:line="240" w:lineRule="auto"/>
                    <w:jc w:val="center"/>
                    <w:textAlignment w:val="center"/>
                    <w:rPr>
                      <w:rFonts w:hint="eastAsia" w:ascii="Times New Roman" w:hAnsi="Times New Roman" w:eastAsia="宋体" w:cs="Times New Roman"/>
                      <w:color w:val="auto"/>
                      <w:kern w:val="0"/>
                      <w:szCs w:val="21"/>
                      <w:highlight w:val="none"/>
                      <w:lang w:val="en-US" w:eastAsia="zh-CN" w:bidi="ar"/>
                    </w:rPr>
                  </w:pPr>
                  <w:r>
                    <w:rPr>
                      <w:rFonts w:hint="eastAsia" w:ascii="Times New Roman" w:hAnsi="Times New Roman" w:cs="Times New Roman"/>
                      <w:color w:val="auto"/>
                      <w:kern w:val="0"/>
                      <w:szCs w:val="21"/>
                      <w:highlight w:val="none"/>
                      <w:lang w:val="en-US" w:eastAsia="zh-CN" w:bidi="ar"/>
                    </w:rPr>
                    <w:t>8</w:t>
                  </w:r>
                </w:p>
              </w:tc>
            </w:tr>
            <w:tr w14:paraId="543A34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80" w:type="dxa"/>
                  <w:noWrap w:val="0"/>
                  <w:vAlign w:val="center"/>
                </w:tcPr>
                <w:p w14:paraId="3DAE7007">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rPr>
                    <w:t>4</w:t>
                  </w:r>
                </w:p>
              </w:tc>
              <w:tc>
                <w:tcPr>
                  <w:tcW w:w="1289" w:type="dxa"/>
                  <w:noWrap w:val="0"/>
                  <w:vAlign w:val="center"/>
                </w:tcPr>
                <w:p w14:paraId="76F2E0CA">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kern w:val="0"/>
                      <w:sz w:val="21"/>
                      <w:szCs w:val="24"/>
                      <w:highlight w:val="none"/>
                      <w:lang w:val="en-US" w:eastAsia="zh-CN" w:bidi="ar-SA"/>
                    </w:rPr>
                    <w:t>自动贴角机</w:t>
                  </w:r>
                </w:p>
              </w:tc>
              <w:tc>
                <w:tcPr>
                  <w:tcW w:w="747" w:type="dxa"/>
                  <w:noWrap w:val="0"/>
                  <w:vAlign w:val="center"/>
                </w:tcPr>
                <w:p w14:paraId="345A0E5C">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val="en-US" w:eastAsia="zh-CN"/>
                    </w:rPr>
                    <w:t>1</w:t>
                  </w:r>
                </w:p>
              </w:tc>
              <w:tc>
                <w:tcPr>
                  <w:tcW w:w="600" w:type="dxa"/>
                  <w:noWrap w:val="0"/>
                  <w:vAlign w:val="center"/>
                </w:tcPr>
                <w:p w14:paraId="5560E303">
                  <w:pPr>
                    <w:adjustRightInd w:val="0"/>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频发</w:t>
                  </w:r>
                </w:p>
              </w:tc>
              <w:tc>
                <w:tcPr>
                  <w:tcW w:w="568" w:type="dxa"/>
                  <w:vMerge w:val="continue"/>
                  <w:noWrap w:val="0"/>
                  <w:vAlign w:val="center"/>
                </w:tcPr>
                <w:p w14:paraId="60FFB1D7">
                  <w:pPr>
                    <w:adjustRightInd w:val="0"/>
                    <w:snapToGrid w:val="0"/>
                    <w:spacing w:line="240" w:lineRule="auto"/>
                    <w:jc w:val="center"/>
                    <w:rPr>
                      <w:rFonts w:hint="default" w:ascii="Times New Roman" w:hAnsi="Times New Roman" w:cs="Times New Roman"/>
                      <w:color w:val="auto"/>
                      <w:highlight w:val="none"/>
                    </w:rPr>
                  </w:pPr>
                </w:p>
              </w:tc>
              <w:tc>
                <w:tcPr>
                  <w:tcW w:w="1137" w:type="dxa"/>
                  <w:noWrap w:val="0"/>
                  <w:vAlign w:val="center"/>
                </w:tcPr>
                <w:p w14:paraId="30A4173A">
                  <w:pPr>
                    <w:adjustRightInd w:val="0"/>
                    <w:snapToGrid w:val="0"/>
                    <w:spacing w:line="240" w:lineRule="auto"/>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75</w:t>
                  </w:r>
                </w:p>
              </w:tc>
              <w:tc>
                <w:tcPr>
                  <w:tcW w:w="673" w:type="dxa"/>
                  <w:noWrap w:val="0"/>
                  <w:vAlign w:val="center"/>
                </w:tcPr>
                <w:p w14:paraId="2DFA2E8F">
                  <w:pPr>
                    <w:adjustRightInd w:val="0"/>
                    <w:snapToGrid w:val="0"/>
                    <w:spacing w:line="240" w:lineRule="auto"/>
                    <w:jc w:val="center"/>
                    <w:rPr>
                      <w:rFonts w:hint="default" w:ascii="Times New Roman" w:hAnsi="Times New Roman" w:cs="Times New Roman"/>
                      <w:color w:val="auto"/>
                      <w:highlight w:val="none"/>
                    </w:rPr>
                  </w:pPr>
                  <w:r>
                    <w:rPr>
                      <w:rFonts w:hint="eastAsia" w:cs="Times New Roman"/>
                      <w:color w:val="auto"/>
                      <w:highlight w:val="none"/>
                      <w:lang w:val="en-US" w:eastAsia="zh-CN"/>
                    </w:rPr>
                    <w:t>75</w:t>
                  </w:r>
                </w:p>
              </w:tc>
              <w:tc>
                <w:tcPr>
                  <w:tcW w:w="357" w:type="dxa"/>
                  <w:vMerge w:val="continue"/>
                  <w:noWrap w:val="0"/>
                  <w:vAlign w:val="center"/>
                </w:tcPr>
                <w:p w14:paraId="0BF86932">
                  <w:pPr>
                    <w:adjustRightInd w:val="0"/>
                    <w:snapToGrid w:val="0"/>
                    <w:spacing w:line="240" w:lineRule="auto"/>
                    <w:jc w:val="center"/>
                    <w:rPr>
                      <w:rFonts w:hint="default" w:ascii="Times New Roman" w:hAnsi="Times New Roman" w:cs="Times New Roman"/>
                      <w:color w:val="auto"/>
                      <w:highlight w:val="none"/>
                    </w:rPr>
                  </w:pPr>
                </w:p>
              </w:tc>
              <w:tc>
                <w:tcPr>
                  <w:tcW w:w="790" w:type="dxa"/>
                  <w:noWrap w:val="0"/>
                  <w:vAlign w:val="center"/>
                </w:tcPr>
                <w:p w14:paraId="65E5B5CB">
                  <w:pPr>
                    <w:adjustRightInd w:val="0"/>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31.5</w:t>
                  </w:r>
                </w:p>
              </w:tc>
              <w:tc>
                <w:tcPr>
                  <w:tcW w:w="631" w:type="dxa"/>
                  <w:noWrap w:val="0"/>
                  <w:vAlign w:val="center"/>
                </w:tcPr>
                <w:p w14:paraId="2D88EFE6">
                  <w:pPr>
                    <w:keepNext w:val="0"/>
                    <w:keepLines w:val="0"/>
                    <w:widowControl/>
                    <w:suppressLineNumbers w:val="0"/>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43.5</w:t>
                  </w:r>
                </w:p>
              </w:tc>
              <w:tc>
                <w:tcPr>
                  <w:tcW w:w="664" w:type="dxa"/>
                  <w:noWrap w:val="0"/>
                  <w:vAlign w:val="center"/>
                </w:tcPr>
                <w:p w14:paraId="2C500E38">
                  <w:pPr>
                    <w:spacing w:line="240" w:lineRule="auto"/>
                    <w:jc w:val="center"/>
                    <w:textAlignment w:val="center"/>
                    <w:rPr>
                      <w:rFonts w:hint="eastAsia" w:ascii="Times New Roman" w:hAnsi="Times New Roman" w:eastAsia="宋体" w:cs="Times New Roman"/>
                      <w:color w:val="auto"/>
                      <w:kern w:val="0"/>
                      <w:szCs w:val="21"/>
                      <w:highlight w:val="none"/>
                      <w:lang w:val="en-US" w:eastAsia="zh-CN" w:bidi="ar"/>
                    </w:rPr>
                  </w:pPr>
                  <w:r>
                    <w:rPr>
                      <w:rFonts w:hint="eastAsia" w:ascii="Times New Roman" w:hAnsi="Times New Roman" w:cs="Times New Roman"/>
                      <w:color w:val="auto"/>
                      <w:kern w:val="0"/>
                      <w:szCs w:val="21"/>
                      <w:highlight w:val="none"/>
                      <w:lang w:val="en-US" w:eastAsia="zh-CN" w:bidi="ar"/>
                    </w:rPr>
                    <w:t>8</w:t>
                  </w:r>
                </w:p>
              </w:tc>
            </w:tr>
            <w:tr w14:paraId="4DA479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80" w:type="dxa"/>
                  <w:noWrap w:val="0"/>
                  <w:vAlign w:val="center"/>
                </w:tcPr>
                <w:p w14:paraId="682D17F7">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val="en-US" w:eastAsia="zh-CN"/>
                    </w:rPr>
                    <w:t>5</w:t>
                  </w:r>
                </w:p>
              </w:tc>
              <w:tc>
                <w:tcPr>
                  <w:tcW w:w="1289" w:type="dxa"/>
                  <w:noWrap w:val="0"/>
                  <w:vAlign w:val="center"/>
                </w:tcPr>
                <w:p w14:paraId="3A13B6C3">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kern w:val="0"/>
                      <w:sz w:val="21"/>
                      <w:szCs w:val="24"/>
                      <w:highlight w:val="none"/>
                      <w:lang w:val="en-US" w:eastAsia="zh-CN" w:bidi="ar-SA"/>
                    </w:rPr>
                    <w:t>自动成型机</w:t>
                  </w:r>
                </w:p>
              </w:tc>
              <w:tc>
                <w:tcPr>
                  <w:tcW w:w="747" w:type="dxa"/>
                  <w:noWrap w:val="0"/>
                  <w:vAlign w:val="center"/>
                </w:tcPr>
                <w:p w14:paraId="20424AC5">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val="en-US" w:eastAsia="zh-CN"/>
                    </w:rPr>
                    <w:t>1</w:t>
                  </w:r>
                </w:p>
              </w:tc>
              <w:tc>
                <w:tcPr>
                  <w:tcW w:w="600" w:type="dxa"/>
                  <w:noWrap w:val="0"/>
                  <w:vAlign w:val="center"/>
                </w:tcPr>
                <w:p w14:paraId="0B10E222">
                  <w:pPr>
                    <w:adjustRightInd w:val="0"/>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频发</w:t>
                  </w:r>
                </w:p>
              </w:tc>
              <w:tc>
                <w:tcPr>
                  <w:tcW w:w="568" w:type="dxa"/>
                  <w:vMerge w:val="continue"/>
                  <w:noWrap w:val="0"/>
                  <w:vAlign w:val="center"/>
                </w:tcPr>
                <w:p w14:paraId="0456105F">
                  <w:pPr>
                    <w:adjustRightInd w:val="0"/>
                    <w:snapToGrid w:val="0"/>
                    <w:spacing w:line="240" w:lineRule="auto"/>
                    <w:jc w:val="center"/>
                    <w:rPr>
                      <w:rFonts w:hint="default" w:ascii="Times New Roman" w:hAnsi="Times New Roman" w:cs="Times New Roman"/>
                      <w:color w:val="auto"/>
                      <w:highlight w:val="none"/>
                    </w:rPr>
                  </w:pPr>
                </w:p>
              </w:tc>
              <w:tc>
                <w:tcPr>
                  <w:tcW w:w="1137" w:type="dxa"/>
                  <w:noWrap w:val="0"/>
                  <w:vAlign w:val="center"/>
                </w:tcPr>
                <w:p w14:paraId="36F1CC3E">
                  <w:pPr>
                    <w:adjustRightInd w:val="0"/>
                    <w:snapToGrid w:val="0"/>
                    <w:spacing w:line="240" w:lineRule="auto"/>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75</w:t>
                  </w:r>
                </w:p>
              </w:tc>
              <w:tc>
                <w:tcPr>
                  <w:tcW w:w="673" w:type="dxa"/>
                  <w:noWrap w:val="0"/>
                  <w:vAlign w:val="center"/>
                </w:tcPr>
                <w:p w14:paraId="10FD220C">
                  <w:pPr>
                    <w:adjustRightInd w:val="0"/>
                    <w:snapToGrid w:val="0"/>
                    <w:spacing w:line="240" w:lineRule="auto"/>
                    <w:jc w:val="center"/>
                    <w:rPr>
                      <w:rFonts w:hint="default" w:ascii="Times New Roman" w:hAnsi="Times New Roman" w:cs="Times New Roman"/>
                      <w:color w:val="auto"/>
                      <w:highlight w:val="none"/>
                    </w:rPr>
                  </w:pPr>
                  <w:r>
                    <w:rPr>
                      <w:rFonts w:hint="eastAsia" w:cs="Times New Roman"/>
                      <w:color w:val="auto"/>
                      <w:highlight w:val="none"/>
                      <w:lang w:val="en-US" w:eastAsia="zh-CN"/>
                    </w:rPr>
                    <w:t>75</w:t>
                  </w:r>
                </w:p>
              </w:tc>
              <w:tc>
                <w:tcPr>
                  <w:tcW w:w="357" w:type="dxa"/>
                  <w:vMerge w:val="continue"/>
                  <w:noWrap w:val="0"/>
                  <w:vAlign w:val="center"/>
                </w:tcPr>
                <w:p w14:paraId="407671EE">
                  <w:pPr>
                    <w:adjustRightInd w:val="0"/>
                    <w:snapToGrid w:val="0"/>
                    <w:spacing w:line="240" w:lineRule="auto"/>
                    <w:jc w:val="center"/>
                    <w:rPr>
                      <w:rFonts w:hint="default" w:ascii="Times New Roman" w:hAnsi="Times New Roman" w:cs="Times New Roman"/>
                      <w:color w:val="auto"/>
                      <w:highlight w:val="none"/>
                    </w:rPr>
                  </w:pPr>
                </w:p>
              </w:tc>
              <w:tc>
                <w:tcPr>
                  <w:tcW w:w="790" w:type="dxa"/>
                  <w:noWrap w:val="0"/>
                  <w:vAlign w:val="center"/>
                </w:tcPr>
                <w:p w14:paraId="041F3D0C">
                  <w:pPr>
                    <w:adjustRightInd w:val="0"/>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31.5</w:t>
                  </w:r>
                </w:p>
              </w:tc>
              <w:tc>
                <w:tcPr>
                  <w:tcW w:w="631" w:type="dxa"/>
                  <w:noWrap w:val="0"/>
                  <w:vAlign w:val="center"/>
                </w:tcPr>
                <w:p w14:paraId="2C678FA2">
                  <w:pPr>
                    <w:keepNext w:val="0"/>
                    <w:keepLines w:val="0"/>
                    <w:widowControl/>
                    <w:suppressLineNumbers w:val="0"/>
                    <w:jc w:val="center"/>
                    <w:textAlignment w:val="center"/>
                    <w:rPr>
                      <w:rFonts w:hint="default" w:ascii="Times New Roman" w:hAnsi="Times New Roman" w:cs="Times New Roman"/>
                      <w:color w:val="auto"/>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43.5</w:t>
                  </w:r>
                </w:p>
              </w:tc>
              <w:tc>
                <w:tcPr>
                  <w:tcW w:w="664" w:type="dxa"/>
                  <w:noWrap w:val="0"/>
                  <w:vAlign w:val="center"/>
                </w:tcPr>
                <w:p w14:paraId="1D88732C">
                  <w:pPr>
                    <w:spacing w:line="240" w:lineRule="auto"/>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8</w:t>
                  </w:r>
                </w:p>
              </w:tc>
            </w:tr>
            <w:tr w14:paraId="06BAF4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80" w:type="dxa"/>
                  <w:noWrap w:val="0"/>
                  <w:vAlign w:val="center"/>
                </w:tcPr>
                <w:p w14:paraId="3B6E58D7">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val="en-US" w:eastAsia="zh-CN"/>
                    </w:rPr>
                    <w:t>6</w:t>
                  </w:r>
                </w:p>
              </w:tc>
              <w:tc>
                <w:tcPr>
                  <w:tcW w:w="1289" w:type="dxa"/>
                  <w:noWrap w:val="0"/>
                  <w:vAlign w:val="center"/>
                </w:tcPr>
                <w:p w14:paraId="0FAF7CCC">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val="en-US" w:eastAsia="zh-CN"/>
                    </w:rPr>
                    <w:t>过油机</w:t>
                  </w:r>
                </w:p>
              </w:tc>
              <w:tc>
                <w:tcPr>
                  <w:tcW w:w="747" w:type="dxa"/>
                  <w:noWrap w:val="0"/>
                  <w:vAlign w:val="center"/>
                </w:tcPr>
                <w:p w14:paraId="2EA8BC9E">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eastAsia" w:ascii="Times New Roman" w:cs="Times New Roman"/>
                      <w:color w:val="auto"/>
                      <w:highlight w:val="none"/>
                      <w:lang w:val="en-US" w:eastAsia="zh-CN"/>
                    </w:rPr>
                    <w:t>1</w:t>
                  </w:r>
                </w:p>
              </w:tc>
              <w:tc>
                <w:tcPr>
                  <w:tcW w:w="600" w:type="dxa"/>
                  <w:noWrap w:val="0"/>
                  <w:vAlign w:val="center"/>
                </w:tcPr>
                <w:p w14:paraId="78F6FFD9">
                  <w:pPr>
                    <w:adjustRightInd w:val="0"/>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频发</w:t>
                  </w:r>
                </w:p>
              </w:tc>
              <w:tc>
                <w:tcPr>
                  <w:tcW w:w="568" w:type="dxa"/>
                  <w:vMerge w:val="continue"/>
                  <w:noWrap w:val="0"/>
                  <w:vAlign w:val="center"/>
                </w:tcPr>
                <w:p w14:paraId="090A9768">
                  <w:pPr>
                    <w:adjustRightInd w:val="0"/>
                    <w:snapToGrid w:val="0"/>
                    <w:spacing w:line="240" w:lineRule="auto"/>
                    <w:jc w:val="center"/>
                    <w:rPr>
                      <w:rFonts w:hint="default" w:ascii="Times New Roman" w:hAnsi="Times New Roman" w:cs="Times New Roman"/>
                      <w:color w:val="auto"/>
                      <w:highlight w:val="none"/>
                    </w:rPr>
                  </w:pPr>
                </w:p>
              </w:tc>
              <w:tc>
                <w:tcPr>
                  <w:tcW w:w="1137" w:type="dxa"/>
                  <w:noWrap w:val="0"/>
                  <w:vAlign w:val="center"/>
                </w:tcPr>
                <w:p w14:paraId="6EBC3F71">
                  <w:pPr>
                    <w:adjustRightInd w:val="0"/>
                    <w:snapToGrid w:val="0"/>
                    <w:spacing w:line="240" w:lineRule="auto"/>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70</w:t>
                  </w:r>
                </w:p>
              </w:tc>
              <w:tc>
                <w:tcPr>
                  <w:tcW w:w="673" w:type="dxa"/>
                  <w:noWrap w:val="0"/>
                  <w:vAlign w:val="center"/>
                </w:tcPr>
                <w:p w14:paraId="58E6DD43">
                  <w:pPr>
                    <w:adjustRightInd w:val="0"/>
                    <w:snapToGrid w:val="0"/>
                    <w:spacing w:line="240" w:lineRule="auto"/>
                    <w:jc w:val="center"/>
                    <w:rPr>
                      <w:rFonts w:hint="default" w:ascii="Times New Roman" w:hAnsi="Times New Roman" w:cs="Times New Roman"/>
                      <w:color w:val="auto"/>
                      <w:highlight w:val="none"/>
                    </w:rPr>
                  </w:pPr>
                  <w:r>
                    <w:rPr>
                      <w:rFonts w:hint="eastAsia" w:cs="Times New Roman"/>
                      <w:color w:val="auto"/>
                      <w:highlight w:val="none"/>
                      <w:lang w:val="en-US" w:eastAsia="zh-CN"/>
                    </w:rPr>
                    <w:t>70</w:t>
                  </w:r>
                </w:p>
              </w:tc>
              <w:tc>
                <w:tcPr>
                  <w:tcW w:w="357" w:type="dxa"/>
                  <w:vMerge w:val="continue"/>
                  <w:noWrap w:val="0"/>
                  <w:vAlign w:val="center"/>
                </w:tcPr>
                <w:p w14:paraId="31B65700">
                  <w:pPr>
                    <w:adjustRightInd w:val="0"/>
                    <w:snapToGrid w:val="0"/>
                    <w:spacing w:line="240" w:lineRule="auto"/>
                    <w:jc w:val="center"/>
                    <w:rPr>
                      <w:rFonts w:hint="default" w:ascii="Times New Roman" w:hAnsi="Times New Roman" w:cs="Times New Roman"/>
                      <w:color w:val="auto"/>
                      <w:highlight w:val="none"/>
                    </w:rPr>
                  </w:pPr>
                </w:p>
              </w:tc>
              <w:tc>
                <w:tcPr>
                  <w:tcW w:w="790" w:type="dxa"/>
                  <w:noWrap w:val="0"/>
                  <w:vAlign w:val="center"/>
                </w:tcPr>
                <w:p w14:paraId="74BD6FA5">
                  <w:pPr>
                    <w:adjustRightInd w:val="0"/>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31.5</w:t>
                  </w:r>
                </w:p>
              </w:tc>
              <w:tc>
                <w:tcPr>
                  <w:tcW w:w="631" w:type="dxa"/>
                  <w:noWrap w:val="0"/>
                  <w:vAlign w:val="center"/>
                </w:tcPr>
                <w:p w14:paraId="64E73F54">
                  <w:pPr>
                    <w:keepNext w:val="0"/>
                    <w:keepLines w:val="0"/>
                    <w:widowControl/>
                    <w:suppressLineNumbers w:val="0"/>
                    <w:jc w:val="center"/>
                    <w:textAlignment w:val="center"/>
                    <w:rPr>
                      <w:rFonts w:hint="default" w:ascii="Times New Roman" w:hAnsi="Times New Roman" w:cs="Times New Roman"/>
                      <w:color w:val="auto"/>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38.5</w:t>
                  </w:r>
                </w:p>
              </w:tc>
              <w:tc>
                <w:tcPr>
                  <w:tcW w:w="664" w:type="dxa"/>
                  <w:noWrap w:val="0"/>
                  <w:vAlign w:val="center"/>
                </w:tcPr>
                <w:p w14:paraId="1BB51A51">
                  <w:pPr>
                    <w:spacing w:line="240" w:lineRule="auto"/>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8</w:t>
                  </w:r>
                </w:p>
              </w:tc>
            </w:tr>
            <w:tr w14:paraId="48B56B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480" w:type="dxa"/>
                  <w:noWrap w:val="0"/>
                  <w:vAlign w:val="center"/>
                </w:tcPr>
                <w:p w14:paraId="4B3FEEE5">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val="en-US" w:eastAsia="zh-CN"/>
                    </w:rPr>
                    <w:t>7</w:t>
                  </w:r>
                </w:p>
              </w:tc>
              <w:tc>
                <w:tcPr>
                  <w:tcW w:w="1289" w:type="dxa"/>
                  <w:noWrap w:val="0"/>
                  <w:vAlign w:val="center"/>
                </w:tcPr>
                <w:p w14:paraId="5975E2BB">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val="en-US" w:eastAsia="zh-CN"/>
                    </w:rPr>
                    <w:t>自动糊盒机</w:t>
                  </w:r>
                </w:p>
              </w:tc>
              <w:tc>
                <w:tcPr>
                  <w:tcW w:w="747" w:type="dxa"/>
                  <w:noWrap w:val="0"/>
                  <w:vAlign w:val="center"/>
                </w:tcPr>
                <w:p w14:paraId="6DC65EFE">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eastAsia" w:ascii="Times New Roman" w:cs="Times New Roman"/>
                      <w:color w:val="auto"/>
                      <w:highlight w:val="none"/>
                      <w:lang w:val="en-US" w:eastAsia="zh-CN"/>
                    </w:rPr>
                    <w:t>1</w:t>
                  </w:r>
                </w:p>
              </w:tc>
              <w:tc>
                <w:tcPr>
                  <w:tcW w:w="600" w:type="dxa"/>
                  <w:noWrap w:val="0"/>
                  <w:vAlign w:val="center"/>
                </w:tcPr>
                <w:p w14:paraId="468747E3">
                  <w:pPr>
                    <w:adjustRightInd w:val="0"/>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频发</w:t>
                  </w:r>
                </w:p>
              </w:tc>
              <w:tc>
                <w:tcPr>
                  <w:tcW w:w="568" w:type="dxa"/>
                  <w:vMerge w:val="continue"/>
                  <w:noWrap w:val="0"/>
                  <w:vAlign w:val="center"/>
                </w:tcPr>
                <w:p w14:paraId="1C79558E">
                  <w:pPr>
                    <w:adjustRightInd w:val="0"/>
                    <w:snapToGrid w:val="0"/>
                    <w:spacing w:line="240" w:lineRule="auto"/>
                    <w:jc w:val="center"/>
                    <w:rPr>
                      <w:rFonts w:hint="default" w:ascii="Times New Roman" w:hAnsi="Times New Roman" w:cs="Times New Roman"/>
                      <w:color w:val="auto"/>
                      <w:highlight w:val="none"/>
                    </w:rPr>
                  </w:pPr>
                </w:p>
              </w:tc>
              <w:tc>
                <w:tcPr>
                  <w:tcW w:w="1137" w:type="dxa"/>
                  <w:noWrap w:val="0"/>
                  <w:vAlign w:val="center"/>
                </w:tcPr>
                <w:p w14:paraId="3FED7127">
                  <w:pPr>
                    <w:adjustRightInd w:val="0"/>
                    <w:snapToGrid w:val="0"/>
                    <w:spacing w:line="240" w:lineRule="auto"/>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65</w:t>
                  </w:r>
                </w:p>
              </w:tc>
              <w:tc>
                <w:tcPr>
                  <w:tcW w:w="673" w:type="dxa"/>
                  <w:noWrap w:val="0"/>
                  <w:vAlign w:val="center"/>
                </w:tcPr>
                <w:p w14:paraId="539D33E1">
                  <w:pPr>
                    <w:adjustRightInd w:val="0"/>
                    <w:snapToGrid w:val="0"/>
                    <w:spacing w:line="240" w:lineRule="auto"/>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65</w:t>
                  </w:r>
                </w:p>
              </w:tc>
              <w:tc>
                <w:tcPr>
                  <w:tcW w:w="357" w:type="dxa"/>
                  <w:vMerge w:val="continue"/>
                  <w:noWrap w:val="0"/>
                  <w:vAlign w:val="center"/>
                </w:tcPr>
                <w:p w14:paraId="4332B07A">
                  <w:pPr>
                    <w:adjustRightInd w:val="0"/>
                    <w:snapToGrid w:val="0"/>
                    <w:spacing w:line="240" w:lineRule="auto"/>
                    <w:jc w:val="center"/>
                    <w:rPr>
                      <w:rFonts w:hint="default" w:ascii="Times New Roman" w:hAnsi="Times New Roman" w:cs="Times New Roman"/>
                      <w:color w:val="auto"/>
                      <w:highlight w:val="none"/>
                    </w:rPr>
                  </w:pPr>
                </w:p>
              </w:tc>
              <w:tc>
                <w:tcPr>
                  <w:tcW w:w="790" w:type="dxa"/>
                  <w:noWrap w:val="0"/>
                  <w:vAlign w:val="center"/>
                </w:tcPr>
                <w:p w14:paraId="0D9067F6">
                  <w:pPr>
                    <w:adjustRightInd w:val="0"/>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31.5</w:t>
                  </w:r>
                </w:p>
              </w:tc>
              <w:tc>
                <w:tcPr>
                  <w:tcW w:w="631" w:type="dxa"/>
                  <w:noWrap w:val="0"/>
                  <w:vAlign w:val="center"/>
                </w:tcPr>
                <w:p w14:paraId="08A6D07E">
                  <w:pPr>
                    <w:keepNext w:val="0"/>
                    <w:keepLines w:val="0"/>
                    <w:widowControl/>
                    <w:suppressLineNumbers w:val="0"/>
                    <w:jc w:val="center"/>
                    <w:textAlignment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33.5</w:t>
                  </w:r>
                </w:p>
              </w:tc>
              <w:tc>
                <w:tcPr>
                  <w:tcW w:w="664" w:type="dxa"/>
                  <w:noWrap w:val="0"/>
                  <w:vAlign w:val="center"/>
                </w:tcPr>
                <w:p w14:paraId="35FD49CD">
                  <w:pPr>
                    <w:spacing w:line="240" w:lineRule="auto"/>
                    <w:jc w:val="center"/>
                    <w:textAlignment w:val="center"/>
                    <w:rPr>
                      <w:rFonts w:hint="default" w:ascii="Times New Roman" w:hAnsi="Times New Roman"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8</w:t>
                  </w:r>
                </w:p>
              </w:tc>
            </w:tr>
            <w:tr w14:paraId="6A3FC7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80" w:type="dxa"/>
                  <w:noWrap w:val="0"/>
                  <w:vAlign w:val="center"/>
                </w:tcPr>
                <w:p w14:paraId="46C0448E">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val="en-US" w:eastAsia="zh-CN"/>
                    </w:rPr>
                    <w:t>8</w:t>
                  </w:r>
                </w:p>
              </w:tc>
              <w:tc>
                <w:tcPr>
                  <w:tcW w:w="1289" w:type="dxa"/>
                  <w:noWrap w:val="0"/>
                  <w:vAlign w:val="center"/>
                </w:tcPr>
                <w:p w14:paraId="5C5A81F8">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val="en-US" w:eastAsia="zh-CN"/>
                    </w:rPr>
                    <w:t>自动啤机</w:t>
                  </w:r>
                </w:p>
              </w:tc>
              <w:tc>
                <w:tcPr>
                  <w:tcW w:w="747" w:type="dxa"/>
                  <w:noWrap w:val="0"/>
                  <w:vAlign w:val="center"/>
                </w:tcPr>
                <w:p w14:paraId="20DB0B76">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eastAsia" w:ascii="Times New Roman" w:cs="Times New Roman"/>
                      <w:color w:val="auto"/>
                      <w:highlight w:val="none"/>
                      <w:lang w:val="en-US" w:eastAsia="zh-CN"/>
                    </w:rPr>
                    <w:t>1</w:t>
                  </w:r>
                </w:p>
              </w:tc>
              <w:tc>
                <w:tcPr>
                  <w:tcW w:w="600" w:type="dxa"/>
                  <w:noWrap w:val="0"/>
                  <w:vAlign w:val="center"/>
                </w:tcPr>
                <w:p w14:paraId="4C69D86C">
                  <w:pPr>
                    <w:adjustRightInd w:val="0"/>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偶发</w:t>
                  </w:r>
                </w:p>
              </w:tc>
              <w:tc>
                <w:tcPr>
                  <w:tcW w:w="568" w:type="dxa"/>
                  <w:vMerge w:val="continue"/>
                  <w:noWrap w:val="0"/>
                  <w:vAlign w:val="center"/>
                </w:tcPr>
                <w:p w14:paraId="26F0D0C9">
                  <w:pPr>
                    <w:adjustRightInd w:val="0"/>
                    <w:snapToGrid w:val="0"/>
                    <w:spacing w:line="240" w:lineRule="auto"/>
                    <w:jc w:val="center"/>
                    <w:rPr>
                      <w:rFonts w:hint="default" w:ascii="Times New Roman" w:hAnsi="Times New Roman" w:cs="Times New Roman"/>
                      <w:color w:val="auto"/>
                      <w:highlight w:val="none"/>
                    </w:rPr>
                  </w:pPr>
                </w:p>
              </w:tc>
              <w:tc>
                <w:tcPr>
                  <w:tcW w:w="1137" w:type="dxa"/>
                  <w:noWrap w:val="0"/>
                  <w:vAlign w:val="center"/>
                </w:tcPr>
                <w:p w14:paraId="7EABCC8B">
                  <w:pPr>
                    <w:adjustRightInd w:val="0"/>
                    <w:snapToGrid w:val="0"/>
                    <w:spacing w:line="240" w:lineRule="auto"/>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75</w:t>
                  </w:r>
                </w:p>
              </w:tc>
              <w:tc>
                <w:tcPr>
                  <w:tcW w:w="673" w:type="dxa"/>
                  <w:noWrap w:val="0"/>
                  <w:vAlign w:val="center"/>
                </w:tcPr>
                <w:p w14:paraId="494CE126">
                  <w:pPr>
                    <w:adjustRightInd w:val="0"/>
                    <w:snapToGrid w:val="0"/>
                    <w:spacing w:line="240" w:lineRule="auto"/>
                    <w:jc w:val="center"/>
                    <w:rPr>
                      <w:rFonts w:hint="default" w:ascii="Times New Roman" w:hAnsi="Times New Roman" w:cs="Times New Roman"/>
                      <w:color w:val="auto"/>
                      <w:highlight w:val="none"/>
                    </w:rPr>
                  </w:pPr>
                  <w:r>
                    <w:rPr>
                      <w:rFonts w:hint="eastAsia" w:cs="Times New Roman"/>
                      <w:color w:val="auto"/>
                      <w:highlight w:val="none"/>
                      <w:lang w:val="en-US" w:eastAsia="zh-CN"/>
                    </w:rPr>
                    <w:t>75</w:t>
                  </w:r>
                </w:p>
              </w:tc>
              <w:tc>
                <w:tcPr>
                  <w:tcW w:w="357" w:type="dxa"/>
                  <w:vMerge w:val="continue"/>
                  <w:noWrap w:val="0"/>
                  <w:vAlign w:val="center"/>
                </w:tcPr>
                <w:p w14:paraId="66464DF3">
                  <w:pPr>
                    <w:adjustRightInd w:val="0"/>
                    <w:snapToGrid w:val="0"/>
                    <w:spacing w:line="240" w:lineRule="auto"/>
                    <w:jc w:val="center"/>
                    <w:rPr>
                      <w:rFonts w:hint="default" w:ascii="Times New Roman" w:hAnsi="Times New Roman" w:cs="Times New Roman"/>
                      <w:color w:val="auto"/>
                      <w:highlight w:val="none"/>
                    </w:rPr>
                  </w:pPr>
                </w:p>
              </w:tc>
              <w:tc>
                <w:tcPr>
                  <w:tcW w:w="790" w:type="dxa"/>
                  <w:noWrap w:val="0"/>
                  <w:vAlign w:val="center"/>
                </w:tcPr>
                <w:p w14:paraId="457E3A06">
                  <w:pPr>
                    <w:adjustRightInd w:val="0"/>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31.5</w:t>
                  </w:r>
                </w:p>
              </w:tc>
              <w:tc>
                <w:tcPr>
                  <w:tcW w:w="631" w:type="dxa"/>
                  <w:noWrap w:val="0"/>
                  <w:vAlign w:val="center"/>
                </w:tcPr>
                <w:p w14:paraId="1B916685">
                  <w:pPr>
                    <w:keepNext w:val="0"/>
                    <w:keepLines w:val="0"/>
                    <w:widowControl/>
                    <w:suppressLineNumbers w:val="0"/>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43.5</w:t>
                  </w:r>
                </w:p>
              </w:tc>
              <w:tc>
                <w:tcPr>
                  <w:tcW w:w="664" w:type="dxa"/>
                  <w:noWrap w:val="0"/>
                  <w:vAlign w:val="center"/>
                </w:tcPr>
                <w:p w14:paraId="49F4A287">
                  <w:pPr>
                    <w:spacing w:line="240" w:lineRule="auto"/>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8</w:t>
                  </w:r>
                </w:p>
              </w:tc>
            </w:tr>
            <w:tr w14:paraId="7C2597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80" w:type="dxa"/>
                  <w:noWrap w:val="0"/>
                  <w:vAlign w:val="center"/>
                </w:tcPr>
                <w:p w14:paraId="26DF9FE9">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val="en-US" w:eastAsia="zh-CN"/>
                    </w:rPr>
                    <w:t>9</w:t>
                  </w:r>
                </w:p>
              </w:tc>
              <w:tc>
                <w:tcPr>
                  <w:tcW w:w="1289" w:type="dxa"/>
                  <w:noWrap w:val="0"/>
                  <w:vAlign w:val="center"/>
                </w:tcPr>
                <w:p w14:paraId="48D87D66">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val="en-US" w:eastAsia="zh-CN"/>
                    </w:rPr>
                    <w:t>手动啤机</w:t>
                  </w:r>
                </w:p>
              </w:tc>
              <w:tc>
                <w:tcPr>
                  <w:tcW w:w="747" w:type="dxa"/>
                  <w:noWrap w:val="0"/>
                  <w:vAlign w:val="center"/>
                </w:tcPr>
                <w:p w14:paraId="431F9AA1">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val="en-US" w:eastAsia="zh-CN"/>
                    </w:rPr>
                    <w:t>4</w:t>
                  </w:r>
                </w:p>
              </w:tc>
              <w:tc>
                <w:tcPr>
                  <w:tcW w:w="600" w:type="dxa"/>
                  <w:noWrap w:val="0"/>
                  <w:vAlign w:val="center"/>
                </w:tcPr>
                <w:p w14:paraId="2D1EADCA">
                  <w:pPr>
                    <w:adjustRightInd w:val="0"/>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频发</w:t>
                  </w:r>
                </w:p>
              </w:tc>
              <w:tc>
                <w:tcPr>
                  <w:tcW w:w="568" w:type="dxa"/>
                  <w:vMerge w:val="continue"/>
                  <w:noWrap w:val="0"/>
                  <w:vAlign w:val="center"/>
                </w:tcPr>
                <w:p w14:paraId="0AEF589C">
                  <w:pPr>
                    <w:adjustRightInd w:val="0"/>
                    <w:snapToGrid w:val="0"/>
                    <w:spacing w:line="240" w:lineRule="auto"/>
                    <w:jc w:val="center"/>
                    <w:rPr>
                      <w:rFonts w:hint="default" w:ascii="Times New Roman" w:hAnsi="Times New Roman" w:cs="Times New Roman"/>
                      <w:color w:val="auto"/>
                      <w:highlight w:val="none"/>
                    </w:rPr>
                  </w:pPr>
                </w:p>
              </w:tc>
              <w:tc>
                <w:tcPr>
                  <w:tcW w:w="1137" w:type="dxa"/>
                  <w:noWrap w:val="0"/>
                  <w:vAlign w:val="center"/>
                </w:tcPr>
                <w:p w14:paraId="4942B62E">
                  <w:pPr>
                    <w:adjustRightInd w:val="0"/>
                    <w:snapToGrid w:val="0"/>
                    <w:spacing w:line="240" w:lineRule="auto"/>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70</w:t>
                  </w:r>
                </w:p>
              </w:tc>
              <w:tc>
                <w:tcPr>
                  <w:tcW w:w="673" w:type="dxa"/>
                  <w:noWrap w:val="0"/>
                  <w:vAlign w:val="center"/>
                </w:tcPr>
                <w:p w14:paraId="3A62DDD0">
                  <w:pPr>
                    <w:adjustRightInd w:val="0"/>
                    <w:snapToGrid w:val="0"/>
                    <w:spacing w:line="240" w:lineRule="auto"/>
                    <w:jc w:val="center"/>
                    <w:rPr>
                      <w:rFonts w:hint="default" w:ascii="Times New Roman" w:hAnsi="Times New Roman" w:cs="Times New Roman"/>
                      <w:color w:val="auto"/>
                      <w:highlight w:val="none"/>
                      <w:lang w:val="en-US"/>
                    </w:rPr>
                  </w:pPr>
                  <w:r>
                    <w:rPr>
                      <w:rFonts w:hint="eastAsia" w:cs="Times New Roman"/>
                      <w:color w:val="auto"/>
                      <w:highlight w:val="none"/>
                      <w:lang w:val="en-US" w:eastAsia="zh-CN"/>
                    </w:rPr>
                    <w:t>76</w:t>
                  </w:r>
                </w:p>
              </w:tc>
              <w:tc>
                <w:tcPr>
                  <w:tcW w:w="357" w:type="dxa"/>
                  <w:vMerge w:val="continue"/>
                  <w:noWrap w:val="0"/>
                  <w:vAlign w:val="center"/>
                </w:tcPr>
                <w:p w14:paraId="148167F8">
                  <w:pPr>
                    <w:adjustRightInd w:val="0"/>
                    <w:snapToGrid w:val="0"/>
                    <w:spacing w:line="240" w:lineRule="auto"/>
                    <w:jc w:val="center"/>
                    <w:rPr>
                      <w:rFonts w:hint="default" w:ascii="Times New Roman" w:hAnsi="Times New Roman" w:cs="Times New Roman"/>
                      <w:color w:val="auto"/>
                      <w:highlight w:val="none"/>
                    </w:rPr>
                  </w:pPr>
                </w:p>
              </w:tc>
              <w:tc>
                <w:tcPr>
                  <w:tcW w:w="790" w:type="dxa"/>
                  <w:noWrap w:val="0"/>
                  <w:vAlign w:val="center"/>
                </w:tcPr>
                <w:p w14:paraId="6B58230F">
                  <w:pPr>
                    <w:adjustRightInd w:val="0"/>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31.5</w:t>
                  </w:r>
                </w:p>
              </w:tc>
              <w:tc>
                <w:tcPr>
                  <w:tcW w:w="631" w:type="dxa"/>
                  <w:noWrap w:val="0"/>
                  <w:vAlign w:val="center"/>
                </w:tcPr>
                <w:p w14:paraId="72E19B3F">
                  <w:pPr>
                    <w:keepNext w:val="0"/>
                    <w:keepLines w:val="0"/>
                    <w:widowControl/>
                    <w:suppressLineNumbers w:val="0"/>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44.5</w:t>
                  </w:r>
                </w:p>
              </w:tc>
              <w:tc>
                <w:tcPr>
                  <w:tcW w:w="664" w:type="dxa"/>
                  <w:noWrap w:val="0"/>
                  <w:vAlign w:val="center"/>
                </w:tcPr>
                <w:p w14:paraId="0DAC4977">
                  <w:pPr>
                    <w:spacing w:line="240" w:lineRule="auto"/>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8</w:t>
                  </w:r>
                </w:p>
              </w:tc>
            </w:tr>
            <w:tr w14:paraId="307585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80" w:type="dxa"/>
                  <w:noWrap w:val="0"/>
                  <w:vAlign w:val="center"/>
                </w:tcPr>
                <w:p w14:paraId="2EBE85B0">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val="en-US" w:eastAsia="zh-CN"/>
                    </w:rPr>
                    <w:t>10</w:t>
                  </w:r>
                </w:p>
              </w:tc>
              <w:tc>
                <w:tcPr>
                  <w:tcW w:w="1289" w:type="dxa"/>
                  <w:noWrap w:val="0"/>
                  <w:vAlign w:val="center"/>
                </w:tcPr>
                <w:p w14:paraId="5C0509EE">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val="en-US" w:eastAsia="zh-CN"/>
                    </w:rPr>
                    <w:t>模切机</w:t>
                  </w:r>
                </w:p>
              </w:tc>
              <w:tc>
                <w:tcPr>
                  <w:tcW w:w="747" w:type="dxa"/>
                  <w:noWrap w:val="0"/>
                  <w:vAlign w:val="center"/>
                </w:tcPr>
                <w:p w14:paraId="1962181C">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eastAsia" w:ascii="Times New Roman" w:cs="Times New Roman"/>
                      <w:color w:val="auto"/>
                      <w:highlight w:val="none"/>
                      <w:lang w:val="en-US" w:eastAsia="zh-CN"/>
                    </w:rPr>
                    <w:t>1</w:t>
                  </w:r>
                </w:p>
              </w:tc>
              <w:tc>
                <w:tcPr>
                  <w:tcW w:w="600" w:type="dxa"/>
                  <w:noWrap w:val="0"/>
                  <w:vAlign w:val="center"/>
                </w:tcPr>
                <w:p w14:paraId="4E6BB772">
                  <w:pPr>
                    <w:adjustRightInd w:val="0"/>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频发</w:t>
                  </w:r>
                </w:p>
              </w:tc>
              <w:tc>
                <w:tcPr>
                  <w:tcW w:w="568" w:type="dxa"/>
                  <w:vMerge w:val="continue"/>
                  <w:noWrap w:val="0"/>
                  <w:vAlign w:val="center"/>
                </w:tcPr>
                <w:p w14:paraId="30BCE276">
                  <w:pPr>
                    <w:adjustRightInd w:val="0"/>
                    <w:snapToGrid w:val="0"/>
                    <w:spacing w:line="240" w:lineRule="auto"/>
                    <w:jc w:val="center"/>
                    <w:rPr>
                      <w:rFonts w:hint="default" w:ascii="Times New Roman" w:hAnsi="Times New Roman" w:cs="Times New Roman"/>
                      <w:color w:val="auto"/>
                      <w:highlight w:val="none"/>
                    </w:rPr>
                  </w:pPr>
                </w:p>
              </w:tc>
              <w:tc>
                <w:tcPr>
                  <w:tcW w:w="1137" w:type="dxa"/>
                  <w:noWrap w:val="0"/>
                  <w:vAlign w:val="center"/>
                </w:tcPr>
                <w:p w14:paraId="16AD0ECE">
                  <w:pPr>
                    <w:adjustRightInd w:val="0"/>
                    <w:snapToGrid w:val="0"/>
                    <w:spacing w:line="240" w:lineRule="auto"/>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80</w:t>
                  </w:r>
                </w:p>
              </w:tc>
              <w:tc>
                <w:tcPr>
                  <w:tcW w:w="673" w:type="dxa"/>
                  <w:noWrap w:val="0"/>
                  <w:vAlign w:val="center"/>
                </w:tcPr>
                <w:p w14:paraId="70395414">
                  <w:pPr>
                    <w:adjustRightInd w:val="0"/>
                    <w:snapToGrid w:val="0"/>
                    <w:spacing w:line="240" w:lineRule="auto"/>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80</w:t>
                  </w:r>
                </w:p>
              </w:tc>
              <w:tc>
                <w:tcPr>
                  <w:tcW w:w="357" w:type="dxa"/>
                  <w:vMerge w:val="continue"/>
                  <w:noWrap w:val="0"/>
                  <w:vAlign w:val="center"/>
                </w:tcPr>
                <w:p w14:paraId="64C6864A">
                  <w:pPr>
                    <w:adjustRightInd w:val="0"/>
                    <w:snapToGrid w:val="0"/>
                    <w:spacing w:line="240" w:lineRule="auto"/>
                    <w:jc w:val="center"/>
                    <w:rPr>
                      <w:rFonts w:hint="default" w:ascii="Times New Roman" w:hAnsi="Times New Roman" w:cs="Times New Roman"/>
                      <w:color w:val="auto"/>
                      <w:highlight w:val="none"/>
                    </w:rPr>
                  </w:pPr>
                </w:p>
              </w:tc>
              <w:tc>
                <w:tcPr>
                  <w:tcW w:w="790" w:type="dxa"/>
                  <w:noWrap w:val="0"/>
                  <w:vAlign w:val="center"/>
                </w:tcPr>
                <w:p w14:paraId="72B1A92C">
                  <w:pPr>
                    <w:adjustRightInd w:val="0"/>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31.5</w:t>
                  </w:r>
                </w:p>
              </w:tc>
              <w:tc>
                <w:tcPr>
                  <w:tcW w:w="631" w:type="dxa"/>
                  <w:noWrap w:val="0"/>
                  <w:vAlign w:val="center"/>
                </w:tcPr>
                <w:p w14:paraId="35882EC0">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48.5</w:t>
                  </w:r>
                </w:p>
              </w:tc>
              <w:tc>
                <w:tcPr>
                  <w:tcW w:w="664" w:type="dxa"/>
                  <w:noWrap w:val="0"/>
                  <w:vAlign w:val="center"/>
                </w:tcPr>
                <w:p w14:paraId="6E059D7F">
                  <w:pPr>
                    <w:spacing w:line="240" w:lineRule="auto"/>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8</w:t>
                  </w:r>
                </w:p>
              </w:tc>
            </w:tr>
            <w:tr w14:paraId="1A5186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480" w:type="dxa"/>
                  <w:noWrap w:val="0"/>
                  <w:vAlign w:val="center"/>
                </w:tcPr>
                <w:p w14:paraId="396FD926">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val="en-US" w:eastAsia="zh-CN"/>
                    </w:rPr>
                    <w:t>11</w:t>
                  </w:r>
                </w:p>
              </w:tc>
              <w:tc>
                <w:tcPr>
                  <w:tcW w:w="1289" w:type="dxa"/>
                  <w:noWrap w:val="0"/>
                  <w:vAlign w:val="center"/>
                </w:tcPr>
                <w:p w14:paraId="416F819F">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val="en-US" w:eastAsia="zh-CN"/>
                    </w:rPr>
                    <w:t>裱卡机</w:t>
                  </w:r>
                </w:p>
              </w:tc>
              <w:tc>
                <w:tcPr>
                  <w:tcW w:w="747" w:type="dxa"/>
                  <w:noWrap w:val="0"/>
                  <w:vAlign w:val="center"/>
                </w:tcPr>
                <w:p w14:paraId="460E8CED">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eastAsia" w:ascii="Times New Roman" w:cs="Times New Roman"/>
                      <w:color w:val="auto"/>
                      <w:highlight w:val="none"/>
                      <w:lang w:val="en-US" w:eastAsia="zh-CN"/>
                    </w:rPr>
                    <w:t>1</w:t>
                  </w:r>
                </w:p>
              </w:tc>
              <w:tc>
                <w:tcPr>
                  <w:tcW w:w="600" w:type="dxa"/>
                  <w:noWrap w:val="0"/>
                  <w:vAlign w:val="center"/>
                </w:tcPr>
                <w:p w14:paraId="7BD48DA6">
                  <w:pPr>
                    <w:adjustRightInd w:val="0"/>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频发</w:t>
                  </w:r>
                </w:p>
              </w:tc>
              <w:tc>
                <w:tcPr>
                  <w:tcW w:w="568" w:type="dxa"/>
                  <w:vMerge w:val="continue"/>
                  <w:noWrap w:val="0"/>
                  <w:vAlign w:val="center"/>
                </w:tcPr>
                <w:p w14:paraId="42A5266B">
                  <w:pPr>
                    <w:adjustRightInd w:val="0"/>
                    <w:snapToGrid w:val="0"/>
                    <w:spacing w:line="240" w:lineRule="auto"/>
                    <w:jc w:val="center"/>
                    <w:rPr>
                      <w:rFonts w:hint="default" w:ascii="Times New Roman" w:hAnsi="Times New Roman" w:cs="Times New Roman"/>
                      <w:color w:val="auto"/>
                      <w:highlight w:val="none"/>
                    </w:rPr>
                  </w:pPr>
                </w:p>
              </w:tc>
              <w:tc>
                <w:tcPr>
                  <w:tcW w:w="1137" w:type="dxa"/>
                  <w:noWrap w:val="0"/>
                  <w:vAlign w:val="center"/>
                </w:tcPr>
                <w:p w14:paraId="5E559D21">
                  <w:pPr>
                    <w:adjustRightInd w:val="0"/>
                    <w:snapToGrid w:val="0"/>
                    <w:spacing w:line="240" w:lineRule="auto"/>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80</w:t>
                  </w:r>
                </w:p>
              </w:tc>
              <w:tc>
                <w:tcPr>
                  <w:tcW w:w="673" w:type="dxa"/>
                  <w:noWrap w:val="0"/>
                  <w:vAlign w:val="center"/>
                </w:tcPr>
                <w:p w14:paraId="14D68DF7">
                  <w:pPr>
                    <w:adjustRightInd w:val="0"/>
                    <w:snapToGrid w:val="0"/>
                    <w:spacing w:line="240" w:lineRule="auto"/>
                    <w:jc w:val="center"/>
                    <w:rPr>
                      <w:rFonts w:hint="default" w:ascii="Times New Roman" w:hAnsi="Times New Roman" w:cs="Times New Roman"/>
                      <w:color w:val="auto"/>
                      <w:highlight w:val="none"/>
                    </w:rPr>
                  </w:pPr>
                  <w:r>
                    <w:rPr>
                      <w:rFonts w:hint="eastAsia" w:cs="Times New Roman"/>
                      <w:color w:val="auto"/>
                      <w:highlight w:val="none"/>
                      <w:lang w:val="en-US" w:eastAsia="zh-CN"/>
                    </w:rPr>
                    <w:t>80</w:t>
                  </w:r>
                </w:p>
              </w:tc>
              <w:tc>
                <w:tcPr>
                  <w:tcW w:w="357" w:type="dxa"/>
                  <w:vMerge w:val="continue"/>
                  <w:noWrap w:val="0"/>
                  <w:vAlign w:val="center"/>
                </w:tcPr>
                <w:p w14:paraId="25D188D8">
                  <w:pPr>
                    <w:adjustRightInd w:val="0"/>
                    <w:snapToGrid w:val="0"/>
                    <w:spacing w:line="240" w:lineRule="auto"/>
                    <w:jc w:val="center"/>
                    <w:rPr>
                      <w:rFonts w:hint="default" w:ascii="Times New Roman" w:hAnsi="Times New Roman" w:cs="Times New Roman"/>
                      <w:color w:val="auto"/>
                      <w:highlight w:val="none"/>
                    </w:rPr>
                  </w:pPr>
                </w:p>
              </w:tc>
              <w:tc>
                <w:tcPr>
                  <w:tcW w:w="790" w:type="dxa"/>
                  <w:noWrap w:val="0"/>
                  <w:vAlign w:val="center"/>
                </w:tcPr>
                <w:p w14:paraId="6EF96990">
                  <w:pPr>
                    <w:adjustRightInd w:val="0"/>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31.5</w:t>
                  </w:r>
                </w:p>
              </w:tc>
              <w:tc>
                <w:tcPr>
                  <w:tcW w:w="631" w:type="dxa"/>
                  <w:noWrap w:val="0"/>
                  <w:vAlign w:val="center"/>
                </w:tcPr>
                <w:p w14:paraId="07FCF9C0">
                  <w:pPr>
                    <w:keepNext w:val="0"/>
                    <w:keepLines w:val="0"/>
                    <w:widowControl/>
                    <w:suppressLineNumbers w:val="0"/>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48.5</w:t>
                  </w:r>
                </w:p>
              </w:tc>
              <w:tc>
                <w:tcPr>
                  <w:tcW w:w="664" w:type="dxa"/>
                  <w:noWrap w:val="0"/>
                  <w:vAlign w:val="center"/>
                </w:tcPr>
                <w:p w14:paraId="15A3CE75">
                  <w:pPr>
                    <w:spacing w:line="240" w:lineRule="auto"/>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8</w:t>
                  </w:r>
                </w:p>
              </w:tc>
            </w:tr>
            <w:tr w14:paraId="5FF1E9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480" w:type="dxa"/>
                  <w:noWrap w:val="0"/>
                  <w:vAlign w:val="center"/>
                </w:tcPr>
                <w:p w14:paraId="20845B49">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val="en-US" w:eastAsia="zh-CN"/>
                    </w:rPr>
                    <w:t>12</w:t>
                  </w:r>
                </w:p>
              </w:tc>
              <w:tc>
                <w:tcPr>
                  <w:tcW w:w="1289" w:type="dxa"/>
                  <w:noWrap w:val="0"/>
                  <w:vAlign w:val="center"/>
                </w:tcPr>
                <w:p w14:paraId="7CC2096F">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裱坑机</w:t>
                  </w:r>
                </w:p>
              </w:tc>
              <w:tc>
                <w:tcPr>
                  <w:tcW w:w="747" w:type="dxa"/>
                  <w:noWrap w:val="0"/>
                  <w:vAlign w:val="center"/>
                </w:tcPr>
                <w:p w14:paraId="10ABA91D">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eastAsia" w:ascii="Times New Roman" w:cs="Times New Roman"/>
                      <w:color w:val="auto"/>
                      <w:highlight w:val="none"/>
                      <w:lang w:val="en-US" w:eastAsia="zh-CN"/>
                    </w:rPr>
                    <w:t>1</w:t>
                  </w:r>
                </w:p>
              </w:tc>
              <w:tc>
                <w:tcPr>
                  <w:tcW w:w="600" w:type="dxa"/>
                  <w:noWrap w:val="0"/>
                  <w:vAlign w:val="center"/>
                </w:tcPr>
                <w:p w14:paraId="5072F671">
                  <w:pPr>
                    <w:adjustRightInd w:val="0"/>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频发</w:t>
                  </w:r>
                </w:p>
              </w:tc>
              <w:tc>
                <w:tcPr>
                  <w:tcW w:w="568" w:type="dxa"/>
                  <w:vMerge w:val="continue"/>
                  <w:noWrap w:val="0"/>
                  <w:vAlign w:val="center"/>
                </w:tcPr>
                <w:p w14:paraId="6D1285EA">
                  <w:pPr>
                    <w:adjustRightInd w:val="0"/>
                    <w:snapToGrid w:val="0"/>
                    <w:spacing w:line="240" w:lineRule="auto"/>
                    <w:jc w:val="center"/>
                    <w:rPr>
                      <w:rFonts w:hint="default" w:ascii="Times New Roman" w:hAnsi="Times New Roman" w:cs="Times New Roman"/>
                      <w:color w:val="auto"/>
                      <w:highlight w:val="none"/>
                    </w:rPr>
                  </w:pPr>
                </w:p>
              </w:tc>
              <w:tc>
                <w:tcPr>
                  <w:tcW w:w="1137" w:type="dxa"/>
                  <w:noWrap w:val="0"/>
                  <w:vAlign w:val="center"/>
                </w:tcPr>
                <w:p w14:paraId="47B4F0BE">
                  <w:pPr>
                    <w:adjustRightInd w:val="0"/>
                    <w:snapToGrid w:val="0"/>
                    <w:spacing w:line="240" w:lineRule="auto"/>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80</w:t>
                  </w:r>
                </w:p>
              </w:tc>
              <w:tc>
                <w:tcPr>
                  <w:tcW w:w="673" w:type="dxa"/>
                  <w:noWrap w:val="0"/>
                  <w:vAlign w:val="center"/>
                </w:tcPr>
                <w:p w14:paraId="50F46EFA">
                  <w:pPr>
                    <w:adjustRightInd w:val="0"/>
                    <w:snapToGrid w:val="0"/>
                    <w:spacing w:line="240" w:lineRule="auto"/>
                    <w:jc w:val="center"/>
                    <w:rPr>
                      <w:rFonts w:hint="default" w:ascii="Times New Roman" w:hAnsi="Times New Roman" w:cs="Times New Roman"/>
                      <w:color w:val="auto"/>
                      <w:highlight w:val="none"/>
                    </w:rPr>
                  </w:pPr>
                  <w:r>
                    <w:rPr>
                      <w:rFonts w:hint="eastAsia" w:cs="Times New Roman"/>
                      <w:color w:val="auto"/>
                      <w:highlight w:val="none"/>
                      <w:lang w:val="en-US" w:eastAsia="zh-CN"/>
                    </w:rPr>
                    <w:t>80</w:t>
                  </w:r>
                </w:p>
              </w:tc>
              <w:tc>
                <w:tcPr>
                  <w:tcW w:w="357" w:type="dxa"/>
                  <w:vMerge w:val="continue"/>
                  <w:noWrap w:val="0"/>
                  <w:vAlign w:val="center"/>
                </w:tcPr>
                <w:p w14:paraId="7D8D0B46">
                  <w:pPr>
                    <w:adjustRightInd w:val="0"/>
                    <w:snapToGrid w:val="0"/>
                    <w:spacing w:line="240" w:lineRule="auto"/>
                    <w:jc w:val="center"/>
                    <w:rPr>
                      <w:rFonts w:hint="default" w:ascii="Times New Roman" w:hAnsi="Times New Roman" w:cs="Times New Roman"/>
                      <w:color w:val="auto"/>
                      <w:highlight w:val="none"/>
                    </w:rPr>
                  </w:pPr>
                </w:p>
              </w:tc>
              <w:tc>
                <w:tcPr>
                  <w:tcW w:w="790" w:type="dxa"/>
                  <w:noWrap w:val="0"/>
                  <w:vAlign w:val="center"/>
                </w:tcPr>
                <w:p w14:paraId="1CFDB830">
                  <w:pPr>
                    <w:adjustRightInd w:val="0"/>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31.5</w:t>
                  </w:r>
                </w:p>
              </w:tc>
              <w:tc>
                <w:tcPr>
                  <w:tcW w:w="631" w:type="dxa"/>
                  <w:noWrap w:val="0"/>
                  <w:vAlign w:val="center"/>
                </w:tcPr>
                <w:p w14:paraId="5EE828C1">
                  <w:pPr>
                    <w:keepNext w:val="0"/>
                    <w:keepLines w:val="0"/>
                    <w:widowControl/>
                    <w:suppressLineNumbers w:val="0"/>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48.5</w:t>
                  </w:r>
                </w:p>
              </w:tc>
              <w:tc>
                <w:tcPr>
                  <w:tcW w:w="664" w:type="dxa"/>
                  <w:noWrap w:val="0"/>
                  <w:vAlign w:val="center"/>
                </w:tcPr>
                <w:p w14:paraId="047AF6D9">
                  <w:pPr>
                    <w:spacing w:line="240" w:lineRule="auto"/>
                    <w:jc w:val="center"/>
                    <w:textAlignment w:val="center"/>
                    <w:rPr>
                      <w:rFonts w:hint="eastAsia" w:ascii="Times New Roman" w:hAnsi="Times New Roman"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8</w:t>
                  </w:r>
                </w:p>
              </w:tc>
            </w:tr>
            <w:tr w14:paraId="73FBD0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480" w:type="dxa"/>
                  <w:noWrap w:val="0"/>
                  <w:vAlign w:val="center"/>
                </w:tcPr>
                <w:p w14:paraId="13765114">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val="en-US" w:eastAsia="zh-CN"/>
                    </w:rPr>
                    <w:t>13</w:t>
                  </w:r>
                </w:p>
              </w:tc>
              <w:tc>
                <w:tcPr>
                  <w:tcW w:w="1289" w:type="dxa"/>
                  <w:noWrap w:val="0"/>
                  <w:vAlign w:val="center"/>
                </w:tcPr>
                <w:p w14:paraId="6AC26453">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开槽机</w:t>
                  </w:r>
                </w:p>
              </w:tc>
              <w:tc>
                <w:tcPr>
                  <w:tcW w:w="747" w:type="dxa"/>
                  <w:noWrap w:val="0"/>
                  <w:vAlign w:val="center"/>
                </w:tcPr>
                <w:p w14:paraId="21D881FD">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val="en-US" w:eastAsia="zh-CN"/>
                    </w:rPr>
                    <w:t>1</w:t>
                  </w:r>
                </w:p>
              </w:tc>
              <w:tc>
                <w:tcPr>
                  <w:tcW w:w="600" w:type="dxa"/>
                  <w:noWrap w:val="0"/>
                  <w:vAlign w:val="center"/>
                </w:tcPr>
                <w:p w14:paraId="11D35343">
                  <w:pPr>
                    <w:adjustRightInd w:val="0"/>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频发</w:t>
                  </w:r>
                </w:p>
              </w:tc>
              <w:tc>
                <w:tcPr>
                  <w:tcW w:w="568" w:type="dxa"/>
                  <w:vMerge w:val="continue"/>
                  <w:noWrap w:val="0"/>
                  <w:vAlign w:val="center"/>
                </w:tcPr>
                <w:p w14:paraId="4C58C1C0">
                  <w:pPr>
                    <w:adjustRightInd w:val="0"/>
                    <w:snapToGrid w:val="0"/>
                    <w:spacing w:line="240" w:lineRule="auto"/>
                    <w:jc w:val="center"/>
                    <w:rPr>
                      <w:rFonts w:hint="default" w:ascii="Times New Roman" w:hAnsi="Times New Roman" w:cs="Times New Roman"/>
                      <w:color w:val="auto"/>
                      <w:highlight w:val="none"/>
                    </w:rPr>
                  </w:pPr>
                </w:p>
              </w:tc>
              <w:tc>
                <w:tcPr>
                  <w:tcW w:w="1137" w:type="dxa"/>
                  <w:noWrap w:val="0"/>
                  <w:vAlign w:val="center"/>
                </w:tcPr>
                <w:p w14:paraId="37F3DEBD">
                  <w:pPr>
                    <w:adjustRightInd w:val="0"/>
                    <w:snapToGrid w:val="0"/>
                    <w:spacing w:line="240" w:lineRule="auto"/>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80</w:t>
                  </w:r>
                </w:p>
              </w:tc>
              <w:tc>
                <w:tcPr>
                  <w:tcW w:w="673" w:type="dxa"/>
                  <w:noWrap w:val="0"/>
                  <w:vAlign w:val="center"/>
                </w:tcPr>
                <w:p w14:paraId="1363510F">
                  <w:pPr>
                    <w:adjustRightInd w:val="0"/>
                    <w:snapToGrid w:val="0"/>
                    <w:spacing w:line="240" w:lineRule="auto"/>
                    <w:jc w:val="center"/>
                    <w:rPr>
                      <w:rFonts w:hint="default" w:ascii="Times New Roman" w:hAnsi="Times New Roman" w:cs="Times New Roman"/>
                      <w:color w:val="auto"/>
                      <w:highlight w:val="none"/>
                    </w:rPr>
                  </w:pPr>
                  <w:r>
                    <w:rPr>
                      <w:rFonts w:hint="eastAsia" w:cs="Times New Roman"/>
                      <w:color w:val="auto"/>
                      <w:highlight w:val="none"/>
                      <w:lang w:val="en-US" w:eastAsia="zh-CN"/>
                    </w:rPr>
                    <w:t>80</w:t>
                  </w:r>
                </w:p>
              </w:tc>
              <w:tc>
                <w:tcPr>
                  <w:tcW w:w="357" w:type="dxa"/>
                  <w:vMerge w:val="continue"/>
                  <w:noWrap w:val="0"/>
                  <w:vAlign w:val="center"/>
                </w:tcPr>
                <w:p w14:paraId="607BEEAC">
                  <w:pPr>
                    <w:adjustRightInd w:val="0"/>
                    <w:snapToGrid w:val="0"/>
                    <w:spacing w:line="240" w:lineRule="auto"/>
                    <w:jc w:val="center"/>
                    <w:rPr>
                      <w:rFonts w:hint="default" w:ascii="Times New Roman" w:hAnsi="Times New Roman" w:cs="Times New Roman"/>
                      <w:color w:val="auto"/>
                      <w:highlight w:val="none"/>
                    </w:rPr>
                  </w:pPr>
                </w:p>
              </w:tc>
              <w:tc>
                <w:tcPr>
                  <w:tcW w:w="790" w:type="dxa"/>
                  <w:noWrap w:val="0"/>
                  <w:vAlign w:val="center"/>
                </w:tcPr>
                <w:p w14:paraId="5D7E8A38">
                  <w:pPr>
                    <w:adjustRightInd w:val="0"/>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31.5</w:t>
                  </w:r>
                </w:p>
              </w:tc>
              <w:tc>
                <w:tcPr>
                  <w:tcW w:w="631" w:type="dxa"/>
                  <w:noWrap w:val="0"/>
                  <w:vAlign w:val="center"/>
                </w:tcPr>
                <w:p w14:paraId="61EC09DB">
                  <w:pPr>
                    <w:keepNext w:val="0"/>
                    <w:keepLines w:val="0"/>
                    <w:widowControl/>
                    <w:suppressLineNumbers w:val="0"/>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48.5</w:t>
                  </w:r>
                </w:p>
              </w:tc>
              <w:tc>
                <w:tcPr>
                  <w:tcW w:w="664" w:type="dxa"/>
                  <w:noWrap w:val="0"/>
                  <w:vAlign w:val="center"/>
                </w:tcPr>
                <w:p w14:paraId="3703D7FA">
                  <w:pPr>
                    <w:spacing w:line="240" w:lineRule="auto"/>
                    <w:jc w:val="center"/>
                    <w:textAlignment w:val="center"/>
                    <w:rPr>
                      <w:rFonts w:hint="eastAsia" w:ascii="Times New Roman" w:hAnsi="Times New Roman"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8</w:t>
                  </w:r>
                </w:p>
              </w:tc>
            </w:tr>
            <w:tr w14:paraId="7A12EC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0" w:type="dxa"/>
                  <w:noWrap w:val="0"/>
                  <w:vAlign w:val="center"/>
                </w:tcPr>
                <w:p w14:paraId="1883DF69">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val="en-US" w:eastAsia="zh-CN"/>
                    </w:rPr>
                    <w:t>14</w:t>
                  </w:r>
                </w:p>
              </w:tc>
              <w:tc>
                <w:tcPr>
                  <w:tcW w:w="1289" w:type="dxa"/>
                  <w:noWrap w:val="0"/>
                  <w:vAlign w:val="center"/>
                </w:tcPr>
                <w:p w14:paraId="2FFAFED5">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打包机</w:t>
                  </w:r>
                </w:p>
              </w:tc>
              <w:tc>
                <w:tcPr>
                  <w:tcW w:w="747" w:type="dxa"/>
                  <w:noWrap w:val="0"/>
                  <w:vAlign w:val="center"/>
                </w:tcPr>
                <w:p w14:paraId="67F8D57E">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val="en-US" w:eastAsia="zh-CN"/>
                    </w:rPr>
                    <w:t>1</w:t>
                  </w:r>
                </w:p>
              </w:tc>
              <w:tc>
                <w:tcPr>
                  <w:tcW w:w="600" w:type="dxa"/>
                  <w:noWrap w:val="0"/>
                  <w:vAlign w:val="center"/>
                </w:tcPr>
                <w:p w14:paraId="5D803E98">
                  <w:pPr>
                    <w:adjustRightInd w:val="0"/>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频发</w:t>
                  </w:r>
                </w:p>
              </w:tc>
              <w:tc>
                <w:tcPr>
                  <w:tcW w:w="568" w:type="dxa"/>
                  <w:vMerge w:val="continue"/>
                  <w:noWrap w:val="0"/>
                  <w:vAlign w:val="center"/>
                </w:tcPr>
                <w:p w14:paraId="24E46A0F">
                  <w:pPr>
                    <w:adjustRightInd w:val="0"/>
                    <w:snapToGrid w:val="0"/>
                    <w:spacing w:line="240" w:lineRule="auto"/>
                    <w:jc w:val="center"/>
                    <w:rPr>
                      <w:rFonts w:hint="default" w:ascii="Times New Roman" w:hAnsi="Times New Roman" w:cs="Times New Roman"/>
                      <w:color w:val="auto"/>
                      <w:highlight w:val="none"/>
                    </w:rPr>
                  </w:pPr>
                </w:p>
              </w:tc>
              <w:tc>
                <w:tcPr>
                  <w:tcW w:w="1137" w:type="dxa"/>
                  <w:noWrap w:val="0"/>
                  <w:vAlign w:val="center"/>
                </w:tcPr>
                <w:p w14:paraId="731F5F8E">
                  <w:pPr>
                    <w:adjustRightInd w:val="0"/>
                    <w:snapToGrid w:val="0"/>
                    <w:spacing w:line="240" w:lineRule="auto"/>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85</w:t>
                  </w:r>
                </w:p>
              </w:tc>
              <w:tc>
                <w:tcPr>
                  <w:tcW w:w="673" w:type="dxa"/>
                  <w:noWrap w:val="0"/>
                  <w:vAlign w:val="center"/>
                </w:tcPr>
                <w:p w14:paraId="71033974">
                  <w:pPr>
                    <w:adjustRightInd w:val="0"/>
                    <w:snapToGrid w:val="0"/>
                    <w:spacing w:line="240" w:lineRule="auto"/>
                    <w:jc w:val="center"/>
                    <w:rPr>
                      <w:rFonts w:hint="default" w:ascii="Times New Roman" w:hAnsi="Times New Roman" w:cs="Times New Roman"/>
                      <w:color w:val="auto"/>
                      <w:highlight w:val="none"/>
                    </w:rPr>
                  </w:pPr>
                  <w:r>
                    <w:rPr>
                      <w:rFonts w:hint="eastAsia" w:cs="Times New Roman"/>
                      <w:color w:val="auto"/>
                      <w:highlight w:val="none"/>
                      <w:lang w:val="en-US" w:eastAsia="zh-CN"/>
                    </w:rPr>
                    <w:t>85</w:t>
                  </w:r>
                </w:p>
              </w:tc>
              <w:tc>
                <w:tcPr>
                  <w:tcW w:w="357" w:type="dxa"/>
                  <w:vMerge w:val="continue"/>
                  <w:noWrap w:val="0"/>
                  <w:vAlign w:val="center"/>
                </w:tcPr>
                <w:p w14:paraId="5800A590">
                  <w:pPr>
                    <w:adjustRightInd w:val="0"/>
                    <w:snapToGrid w:val="0"/>
                    <w:spacing w:line="240" w:lineRule="auto"/>
                    <w:jc w:val="center"/>
                    <w:rPr>
                      <w:rFonts w:hint="default" w:ascii="Times New Roman" w:hAnsi="Times New Roman" w:cs="Times New Roman"/>
                      <w:color w:val="auto"/>
                      <w:highlight w:val="none"/>
                    </w:rPr>
                  </w:pPr>
                </w:p>
              </w:tc>
              <w:tc>
                <w:tcPr>
                  <w:tcW w:w="790" w:type="dxa"/>
                  <w:noWrap w:val="0"/>
                  <w:vAlign w:val="center"/>
                </w:tcPr>
                <w:p w14:paraId="1C1E052B">
                  <w:pPr>
                    <w:adjustRightInd w:val="0"/>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31.5</w:t>
                  </w:r>
                </w:p>
              </w:tc>
              <w:tc>
                <w:tcPr>
                  <w:tcW w:w="631" w:type="dxa"/>
                  <w:noWrap w:val="0"/>
                  <w:vAlign w:val="center"/>
                </w:tcPr>
                <w:p w14:paraId="0BD34F26">
                  <w:pPr>
                    <w:keepNext w:val="0"/>
                    <w:keepLines w:val="0"/>
                    <w:widowControl/>
                    <w:suppressLineNumbers w:val="0"/>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53.5</w:t>
                  </w:r>
                </w:p>
              </w:tc>
              <w:tc>
                <w:tcPr>
                  <w:tcW w:w="664" w:type="dxa"/>
                  <w:noWrap w:val="0"/>
                  <w:vAlign w:val="center"/>
                </w:tcPr>
                <w:p w14:paraId="7D6F9FE6">
                  <w:pPr>
                    <w:spacing w:line="240" w:lineRule="auto"/>
                    <w:jc w:val="center"/>
                    <w:textAlignment w:val="center"/>
                    <w:rPr>
                      <w:rFonts w:hint="eastAsia" w:ascii="Times New Roman" w:hAnsi="Times New Roman"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8</w:t>
                  </w:r>
                </w:p>
              </w:tc>
            </w:tr>
            <w:tr w14:paraId="06A9F9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480" w:type="dxa"/>
                  <w:noWrap w:val="0"/>
                  <w:vAlign w:val="center"/>
                </w:tcPr>
                <w:p w14:paraId="36B9D3E5">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highlight w:val="none"/>
                      <w:lang w:val="en-US" w:eastAsia="zh-CN"/>
                    </w:rPr>
                  </w:pPr>
                  <w:r>
                    <w:rPr>
                      <w:rFonts w:hint="eastAsia" w:ascii="Times New Roman" w:eastAsia="宋体" w:cs="Times New Roman"/>
                      <w:color w:val="auto"/>
                      <w:highlight w:val="none"/>
                      <w:lang w:val="en-US" w:eastAsia="zh-CN"/>
                    </w:rPr>
                    <w:t>15</w:t>
                  </w:r>
                </w:p>
              </w:tc>
              <w:tc>
                <w:tcPr>
                  <w:tcW w:w="1289" w:type="dxa"/>
                  <w:noWrap w:val="0"/>
                  <w:vAlign w:val="center"/>
                </w:tcPr>
                <w:p w14:paraId="4F9CFA7F">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highlight w:val="none"/>
                      <w:lang w:val="en-US" w:eastAsia="zh-CN"/>
                    </w:rPr>
                  </w:pPr>
                  <w:r>
                    <w:rPr>
                      <w:rFonts w:hint="eastAsia" w:ascii="Times New Roman" w:eastAsia="宋体" w:cs="Times New Roman"/>
                      <w:color w:val="auto"/>
                      <w:highlight w:val="none"/>
                      <w:lang w:val="en-US" w:eastAsia="zh-CN"/>
                    </w:rPr>
                    <w:t>风机</w:t>
                  </w:r>
                </w:p>
              </w:tc>
              <w:tc>
                <w:tcPr>
                  <w:tcW w:w="747" w:type="dxa"/>
                  <w:noWrap w:val="0"/>
                  <w:vAlign w:val="center"/>
                </w:tcPr>
                <w:p w14:paraId="36B43F4B">
                  <w:pPr>
                    <w:pStyle w:val="8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val="en-US" w:eastAsia="zh-CN"/>
                    </w:rPr>
                    <w:t>1</w:t>
                  </w:r>
                </w:p>
              </w:tc>
              <w:tc>
                <w:tcPr>
                  <w:tcW w:w="600" w:type="dxa"/>
                  <w:noWrap w:val="0"/>
                  <w:vAlign w:val="center"/>
                </w:tcPr>
                <w:p w14:paraId="19277761">
                  <w:pPr>
                    <w:adjustRightInd w:val="0"/>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频发</w:t>
                  </w:r>
                </w:p>
              </w:tc>
              <w:tc>
                <w:tcPr>
                  <w:tcW w:w="568" w:type="dxa"/>
                  <w:vMerge w:val="continue"/>
                  <w:noWrap w:val="0"/>
                  <w:vAlign w:val="center"/>
                </w:tcPr>
                <w:p w14:paraId="7C1BE7D3">
                  <w:pPr>
                    <w:adjustRightInd w:val="0"/>
                    <w:snapToGrid w:val="0"/>
                    <w:spacing w:line="240" w:lineRule="auto"/>
                    <w:jc w:val="center"/>
                    <w:rPr>
                      <w:rFonts w:hint="default" w:ascii="Times New Roman" w:hAnsi="Times New Roman" w:cs="Times New Roman"/>
                      <w:color w:val="auto"/>
                      <w:highlight w:val="none"/>
                    </w:rPr>
                  </w:pPr>
                </w:p>
              </w:tc>
              <w:tc>
                <w:tcPr>
                  <w:tcW w:w="1137" w:type="dxa"/>
                  <w:noWrap w:val="0"/>
                  <w:vAlign w:val="center"/>
                </w:tcPr>
                <w:p w14:paraId="5A98EC53">
                  <w:pPr>
                    <w:adjustRightInd w:val="0"/>
                    <w:snapToGrid w:val="0"/>
                    <w:spacing w:line="240" w:lineRule="auto"/>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85</w:t>
                  </w:r>
                </w:p>
              </w:tc>
              <w:tc>
                <w:tcPr>
                  <w:tcW w:w="673" w:type="dxa"/>
                  <w:noWrap w:val="0"/>
                  <w:vAlign w:val="center"/>
                </w:tcPr>
                <w:p w14:paraId="13FEA59A">
                  <w:pPr>
                    <w:adjustRightInd w:val="0"/>
                    <w:snapToGrid w:val="0"/>
                    <w:spacing w:line="240" w:lineRule="auto"/>
                    <w:jc w:val="center"/>
                    <w:rPr>
                      <w:rFonts w:hint="default" w:ascii="Times New Roman" w:hAnsi="Times New Roman" w:cs="Times New Roman"/>
                      <w:color w:val="auto"/>
                      <w:highlight w:val="none"/>
                    </w:rPr>
                  </w:pPr>
                  <w:r>
                    <w:rPr>
                      <w:rFonts w:hint="eastAsia" w:cs="Times New Roman"/>
                      <w:color w:val="auto"/>
                      <w:highlight w:val="none"/>
                      <w:lang w:val="en-US" w:eastAsia="zh-CN"/>
                    </w:rPr>
                    <w:t>85</w:t>
                  </w:r>
                </w:p>
              </w:tc>
              <w:tc>
                <w:tcPr>
                  <w:tcW w:w="357" w:type="dxa"/>
                  <w:vMerge w:val="continue"/>
                  <w:noWrap w:val="0"/>
                  <w:vAlign w:val="center"/>
                </w:tcPr>
                <w:p w14:paraId="3743B594">
                  <w:pPr>
                    <w:adjustRightInd w:val="0"/>
                    <w:snapToGrid w:val="0"/>
                    <w:spacing w:line="240" w:lineRule="auto"/>
                    <w:jc w:val="center"/>
                    <w:rPr>
                      <w:rFonts w:hint="default" w:ascii="Times New Roman" w:hAnsi="Times New Roman" w:cs="Times New Roman"/>
                      <w:color w:val="auto"/>
                      <w:highlight w:val="none"/>
                    </w:rPr>
                  </w:pPr>
                </w:p>
              </w:tc>
              <w:tc>
                <w:tcPr>
                  <w:tcW w:w="790" w:type="dxa"/>
                  <w:noWrap w:val="0"/>
                  <w:vAlign w:val="center"/>
                </w:tcPr>
                <w:p w14:paraId="33FA0C17">
                  <w:pPr>
                    <w:adjustRightInd w:val="0"/>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31.5</w:t>
                  </w:r>
                </w:p>
              </w:tc>
              <w:tc>
                <w:tcPr>
                  <w:tcW w:w="631" w:type="dxa"/>
                  <w:noWrap w:val="0"/>
                  <w:vAlign w:val="center"/>
                </w:tcPr>
                <w:p w14:paraId="2A8A0389">
                  <w:pPr>
                    <w:keepNext w:val="0"/>
                    <w:keepLines w:val="0"/>
                    <w:widowControl/>
                    <w:suppressLineNumbers w:val="0"/>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53.5</w:t>
                  </w:r>
                </w:p>
              </w:tc>
              <w:tc>
                <w:tcPr>
                  <w:tcW w:w="664" w:type="dxa"/>
                  <w:noWrap w:val="0"/>
                  <w:vAlign w:val="center"/>
                </w:tcPr>
                <w:p w14:paraId="38997E22">
                  <w:pPr>
                    <w:spacing w:line="240" w:lineRule="auto"/>
                    <w:jc w:val="center"/>
                    <w:textAlignment w:val="center"/>
                    <w:rPr>
                      <w:rFonts w:hint="default" w:ascii="Times New Roman" w:hAnsi="Times New Roman"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8</w:t>
                  </w:r>
                </w:p>
              </w:tc>
            </w:tr>
          </w:tbl>
          <w:p w14:paraId="7EC41316">
            <w:pPr>
              <w:pStyle w:val="60"/>
              <w:keepNext w:val="0"/>
              <w:keepLines w:val="0"/>
              <w:pageBreakBefore w:val="0"/>
              <w:widowControl w:val="0"/>
              <w:kinsoku/>
              <w:wordWrap/>
              <w:overflowPunct/>
              <w:topLinePunct w:val="0"/>
              <w:autoSpaceDE/>
              <w:autoSpaceDN/>
              <w:bidi w:val="0"/>
              <w:adjustRightInd/>
              <w:snapToGrid/>
              <w:spacing w:before="157" w:beforeLines="50" w:line="360" w:lineRule="auto"/>
              <w:ind w:firstLine="482"/>
              <w:textAlignment w:val="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2、厂界噪声预测分析</w:t>
            </w:r>
          </w:p>
          <w:p w14:paraId="75EC63EA">
            <w:pPr>
              <w:pStyle w:val="60"/>
              <w:widowControl w:val="0"/>
              <w:spacing w:line="360" w:lineRule="auto"/>
              <w:ind w:firstLine="482"/>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（1）预测评价内容</w:t>
            </w:r>
          </w:p>
          <w:p w14:paraId="6A0C8E6C">
            <w:pPr>
              <w:pStyle w:val="60"/>
              <w:widowControl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1）厂界噪声预测。预测厂界（东北、东南、西南、西北边界）噪声。</w:t>
            </w:r>
          </w:p>
          <w:p w14:paraId="581184F9">
            <w:pPr>
              <w:pStyle w:val="60"/>
              <w:widowControl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2）敏感目标噪声预测。50米范围内无居民敏感点，故不预测敏感点噪声。</w:t>
            </w:r>
          </w:p>
          <w:p w14:paraId="03DB85FD">
            <w:pPr>
              <w:pStyle w:val="60"/>
              <w:widowControl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根据工程分析，项目主要噪声为机械设备运行产生的噪声，采用</w:t>
            </w:r>
            <w:r>
              <w:rPr>
                <w:rFonts w:hint="eastAsia"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rPr>
              <w:t>班工作制度，每班</w:t>
            </w:r>
            <w:r>
              <w:rPr>
                <w:rFonts w:hint="eastAsia" w:ascii="Times New Roman" w:hAnsi="Times New Roman" w:cs="Times New Roman"/>
                <w:color w:val="auto"/>
                <w:sz w:val="24"/>
                <w:highlight w:val="none"/>
                <w:lang w:val="en-US" w:eastAsia="zh-CN"/>
              </w:rPr>
              <w:t>8</w:t>
            </w:r>
            <w:r>
              <w:rPr>
                <w:rFonts w:hint="default" w:ascii="Times New Roman" w:hAnsi="Times New Roman" w:cs="Times New Roman"/>
                <w:color w:val="auto"/>
                <w:sz w:val="24"/>
                <w:highlight w:val="none"/>
              </w:rPr>
              <w:t>小时，本报告</w:t>
            </w:r>
            <w:r>
              <w:rPr>
                <w:rFonts w:hint="eastAsia" w:ascii="Times New Roman" w:hAnsi="Times New Roman" w:cs="Times New Roman"/>
                <w:color w:val="auto"/>
                <w:sz w:val="24"/>
                <w:highlight w:val="none"/>
                <w:lang w:val="en-US" w:eastAsia="zh-CN"/>
              </w:rPr>
              <w:t>仅对</w:t>
            </w:r>
            <w:r>
              <w:rPr>
                <w:rFonts w:hint="default" w:ascii="Times New Roman" w:hAnsi="Times New Roman" w:cs="Times New Roman"/>
                <w:color w:val="auto"/>
                <w:sz w:val="24"/>
                <w:highlight w:val="none"/>
              </w:rPr>
              <w:t>项目昼间生产加工时段内进行噪声预测。</w:t>
            </w:r>
          </w:p>
          <w:p w14:paraId="73A4CFDD">
            <w:pPr>
              <w:pStyle w:val="60"/>
              <w:widowControl w:val="0"/>
              <w:spacing w:line="360" w:lineRule="auto"/>
              <w:ind w:firstLine="482"/>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（2）预测模式</w:t>
            </w:r>
          </w:p>
          <w:p w14:paraId="600D2165">
            <w:pPr>
              <w:pStyle w:val="60"/>
              <w:widowControl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根据《环境影响评价技术导则 声环境》（HJ2.4-2021）的要求，项目环评采用的模型为《环境影响评价技术导则 声环境》(HJ2.4-2021)附录A（规范性附录）点声源户外声传播的衰减和附录B（规范性附录）中“B.1工业噪声预测计算模型”。本环评预测项目内设备运行产生的噪声对厂界和环境保护目标的影响，应用过程中将根据具体情况作必要简化。</w:t>
            </w:r>
          </w:p>
          <w:p w14:paraId="091023B8">
            <w:pPr>
              <w:pStyle w:val="60"/>
              <w:widowControl w:val="0"/>
              <w:spacing w:line="360" w:lineRule="auto"/>
              <w:ind w:firstLine="482"/>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1）对室内声源等效室外声源声功率级计算</w:t>
            </w:r>
          </w:p>
          <w:p w14:paraId="5343B21A">
            <w:pPr>
              <w:pStyle w:val="60"/>
              <w:widowControl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室内声源可采用等效室外声源声功率级法进行计算。设靠近开口处（或窗户）室内、室外某倍频带的声压级分别为L</w:t>
            </w:r>
            <w:r>
              <w:rPr>
                <w:rFonts w:hint="default" w:ascii="Times New Roman" w:hAnsi="Times New Roman" w:cs="Times New Roman"/>
                <w:color w:val="auto"/>
                <w:sz w:val="24"/>
                <w:highlight w:val="none"/>
                <w:vertAlign w:val="subscript"/>
              </w:rPr>
              <w:t>p1</w:t>
            </w:r>
            <w:r>
              <w:rPr>
                <w:rFonts w:hint="default" w:ascii="Times New Roman" w:hAnsi="Times New Roman" w:cs="Times New Roman"/>
                <w:color w:val="auto"/>
                <w:sz w:val="24"/>
                <w:highlight w:val="none"/>
              </w:rPr>
              <w:t>和L</w:t>
            </w:r>
            <w:r>
              <w:rPr>
                <w:rFonts w:hint="default" w:ascii="Times New Roman" w:hAnsi="Times New Roman" w:cs="Times New Roman"/>
                <w:color w:val="auto"/>
                <w:sz w:val="24"/>
                <w:highlight w:val="none"/>
                <w:vertAlign w:val="subscript"/>
              </w:rPr>
              <w:t>p2</w:t>
            </w:r>
            <w:r>
              <w:rPr>
                <w:rFonts w:hint="default" w:ascii="Times New Roman" w:hAnsi="Times New Roman" w:cs="Times New Roman"/>
                <w:color w:val="auto"/>
                <w:sz w:val="24"/>
                <w:highlight w:val="none"/>
              </w:rPr>
              <w:t>。若声源所在室内声场为近似扩散声场，则室外的倍频带声压级可按下式近似求出：</w:t>
            </w:r>
          </w:p>
          <w:p w14:paraId="3CB435E4">
            <w:pPr>
              <w:pStyle w:val="60"/>
              <w:widowControl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object>
                <v:shape id="_x0000_i1025" o:spt="75" type="#_x0000_t75" style="height:19pt;width:96pt;" o:ole="t" filled="f" stroked="f" coordsize="21600,21600">
                  <v:path/>
                  <v:fill on="f" focussize="0,0"/>
                  <v:stroke on="f"/>
                  <v:imagedata r:id="rId21" embosscolor="#FFFFFF" o:title=""/>
                  <o:lock v:ext="edit" aspectratio="t"/>
                  <w10:wrap type="none"/>
                  <w10:anchorlock/>
                </v:shape>
                <o:OLEObject Type="Embed" ProgID="Equation.KSEE3" ShapeID="_x0000_i1025" DrawAspect="Content" ObjectID="_1468075725" r:id="rId20">
                  <o:LockedField>false</o:LockedField>
                </o:OLEObject>
              </w:object>
            </w:r>
          </w:p>
          <w:p w14:paraId="070413D5">
            <w:pPr>
              <w:pStyle w:val="60"/>
              <w:widowControl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式中：TL—隔墙（或窗户）倍频带的隔声量，dB(A)</w:t>
            </w:r>
          </w:p>
          <w:p w14:paraId="4B526FA7">
            <w:pPr>
              <w:pStyle w:val="60"/>
              <w:spacing w:line="360" w:lineRule="auto"/>
              <w:ind w:firstLine="0" w:firstLineChars="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drawing>
                <wp:inline distT="0" distB="0" distL="114300" distR="114300">
                  <wp:extent cx="2177415" cy="1029335"/>
                  <wp:effectExtent l="0" t="0" r="6985" b="12065"/>
                  <wp:docPr id="85" name="图片 3"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3" descr="图片2"/>
                          <pic:cNvPicPr>
                            <a:picLocks noChangeAspect="1"/>
                          </pic:cNvPicPr>
                        </pic:nvPicPr>
                        <pic:blipFill>
                          <a:blip r:embed="rId22"/>
                          <a:stretch>
                            <a:fillRect/>
                          </a:stretch>
                        </pic:blipFill>
                        <pic:spPr>
                          <a:xfrm>
                            <a:off x="0" y="0"/>
                            <a:ext cx="2177415" cy="1029335"/>
                          </a:xfrm>
                          <a:prstGeom prst="rect">
                            <a:avLst/>
                          </a:prstGeom>
                          <a:noFill/>
                          <a:ln>
                            <a:noFill/>
                          </a:ln>
                        </pic:spPr>
                      </pic:pic>
                    </a:graphicData>
                  </a:graphic>
                </wp:inline>
              </w:drawing>
            </w:r>
          </w:p>
          <w:p w14:paraId="7BA13771">
            <w:pPr>
              <w:pStyle w:val="60"/>
              <w:spacing w:line="360" w:lineRule="auto"/>
              <w:ind w:firstLine="0" w:firstLineChars="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图4-</w:t>
            </w:r>
            <w:r>
              <w:rPr>
                <w:rFonts w:hint="eastAsia" w:cs="Times New Roman"/>
                <w:b/>
                <w:bCs/>
                <w:color w:val="auto"/>
                <w:szCs w:val="21"/>
                <w:highlight w:val="none"/>
                <w:lang w:val="en-US" w:eastAsia="zh-CN"/>
              </w:rPr>
              <w:t>8</w:t>
            </w:r>
            <w:r>
              <w:rPr>
                <w:rFonts w:hint="default" w:ascii="Times New Roman" w:hAnsi="Times New Roman" w:cs="Times New Roman"/>
                <w:b/>
                <w:bCs/>
                <w:color w:val="auto"/>
                <w:szCs w:val="21"/>
                <w:highlight w:val="none"/>
              </w:rPr>
              <w:t>室内声源等效为室外声源图例</w:t>
            </w:r>
          </w:p>
          <w:p w14:paraId="5D35AC1C">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某一室内声源靠近转护结构处产生的倍频带声压级按下式计算：</w:t>
            </w:r>
          </w:p>
          <w:p w14:paraId="7E1E52CE">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object>
                <v:shape id="_x0000_i1026" o:spt="75" type="#_x0000_t75" style="height:31.6pt;width:132.45pt;" o:ole="t" filled="f" stroked="f" coordsize="21600,21600">
                  <v:path/>
                  <v:fill on="f" focussize="0,0"/>
                  <v:stroke on="f"/>
                  <v:imagedata r:id="rId24" embosscolor="#FFFFFF" o:title=""/>
                  <o:lock v:ext="edit" aspectratio="t"/>
                  <w10:wrap type="none"/>
                  <w10:anchorlock/>
                </v:shape>
                <o:OLEObject Type="Embed" ProgID="Equation.KSEE3" ShapeID="_x0000_i1026" DrawAspect="Content" ObjectID="_1468075726" r:id="rId23">
                  <o:LockedField>false</o:LockedField>
                </o:OLEObject>
              </w:object>
            </w:r>
          </w:p>
          <w:p w14:paraId="6D7D223E">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w:t>
            </w:r>
          </w:p>
          <w:p w14:paraId="29DBF04B">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Q—指向性因数。通常对无指向性声源，当声源放在房间中心时，Q=1；当入在一面墙的中心时，Q=2；当放在两面墙夹角处时，Q=4；当放在三面墙夹角处时，Q=8；</w:t>
            </w:r>
          </w:p>
          <w:p w14:paraId="7DF81978">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R—房间常数；</w:t>
            </w:r>
            <w:r>
              <w:rPr>
                <w:rFonts w:hint="default" w:ascii="Times New Roman" w:hAnsi="Times New Roman" w:cs="Times New Roman"/>
                <w:color w:val="auto"/>
                <w:sz w:val="24"/>
                <w:highlight w:val="none"/>
              </w:rPr>
              <w:object>
                <v:shape id="_x0000_i1027" o:spt="75" type="#_x0000_t75" style="height:16pt;width:75pt;" o:ole="t" filled="f" stroked="f" coordsize="21600,21600">
                  <v:path/>
                  <v:fill on="f" focussize="0,0"/>
                  <v:stroke on="f"/>
                  <v:imagedata r:id="rId26" embosscolor="#FFFFFF" o:title=""/>
                  <o:lock v:ext="edit" aspectratio="t"/>
                  <w10:wrap type="none"/>
                  <w10:anchorlock/>
                </v:shape>
                <o:OLEObject Type="Embed" ProgID="Equation.KSEE3" ShapeID="_x0000_i1027" DrawAspect="Content" ObjectID="_1468075727" r:id="rId25">
                  <o:LockedField>false</o:LockedField>
                </o:OLEObject>
              </w:object>
            </w:r>
            <w:r>
              <w:rPr>
                <w:rFonts w:hint="default" w:ascii="Times New Roman" w:hAnsi="Times New Roman" w:cs="Times New Roman"/>
                <w:color w:val="auto"/>
                <w:sz w:val="24"/>
                <w:highlight w:val="none"/>
              </w:rPr>
              <w:t>，S为房间内表面面积，m2；</w:t>
            </w:r>
            <w:r>
              <w:rPr>
                <w:rFonts w:hint="default" w:ascii="Times New Roman" w:hAnsi="Times New Roman" w:cs="Times New Roman"/>
                <w:color w:val="auto"/>
                <w:sz w:val="24"/>
                <w:highlight w:val="none"/>
              </w:rPr>
              <w:object>
                <v:shape id="_x0000_i1028" o:spt="75" type="#_x0000_t75" style="height:11pt;width:12pt;" o:ole="t" filled="f" stroked="f" coordsize="21600,21600">
                  <v:path/>
                  <v:fill on="f" focussize="0,0"/>
                  <v:stroke on="f"/>
                  <v:imagedata r:id="rId28" embosscolor="#FFFFFF" o:title=""/>
                  <o:lock v:ext="edit" aspectratio="t"/>
                  <w10:wrap type="none"/>
                  <w10:anchorlock/>
                </v:shape>
                <o:OLEObject Type="Embed" ProgID="Equation.KSEE3" ShapeID="_x0000_i1028" DrawAspect="Content" ObjectID="_1468075728" r:id="rId27">
                  <o:LockedField>false</o:LockedField>
                </o:OLEObject>
              </w:object>
            </w:r>
            <w:r>
              <w:rPr>
                <w:rFonts w:hint="default" w:ascii="Times New Roman" w:hAnsi="Times New Roman" w:cs="Times New Roman"/>
                <w:color w:val="auto"/>
                <w:sz w:val="24"/>
                <w:highlight w:val="none"/>
              </w:rPr>
              <w:t>为平均吸声系数；</w:t>
            </w:r>
          </w:p>
          <w:p w14:paraId="16B00FD8">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r—声源到靠近围护结构某点处的距离，m。</w:t>
            </w:r>
          </w:p>
          <w:p w14:paraId="5AF7EEBD">
            <w:pPr>
              <w:pStyle w:val="60"/>
              <w:spacing w:line="360" w:lineRule="auto"/>
              <w:ind w:firstLine="482"/>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2）同一发声点位噪声贡献值（Leqg）计算公式</w:t>
            </w:r>
          </w:p>
          <w:p w14:paraId="2DA27D39">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drawing>
                <wp:inline distT="0" distB="0" distL="114300" distR="114300">
                  <wp:extent cx="1905635" cy="465455"/>
                  <wp:effectExtent l="0" t="0" r="12065" b="4445"/>
                  <wp:docPr id="87" name="图片 7"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7" descr="图片1"/>
                          <pic:cNvPicPr>
                            <a:picLocks noChangeAspect="1"/>
                          </pic:cNvPicPr>
                        </pic:nvPicPr>
                        <pic:blipFill>
                          <a:blip r:embed="rId29"/>
                          <a:stretch>
                            <a:fillRect/>
                          </a:stretch>
                        </pic:blipFill>
                        <pic:spPr>
                          <a:xfrm>
                            <a:off x="0" y="0"/>
                            <a:ext cx="1905635" cy="465455"/>
                          </a:xfrm>
                          <a:prstGeom prst="rect">
                            <a:avLst/>
                          </a:prstGeom>
                          <a:noFill/>
                          <a:ln>
                            <a:noFill/>
                          </a:ln>
                        </pic:spPr>
                      </pic:pic>
                    </a:graphicData>
                  </a:graphic>
                </wp:inline>
              </w:drawing>
            </w:r>
          </w:p>
          <w:p w14:paraId="2E90CE86">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式中：L</w:t>
            </w:r>
            <w:r>
              <w:rPr>
                <w:rFonts w:hint="default" w:ascii="Times New Roman" w:hAnsi="Times New Roman" w:cs="Times New Roman"/>
                <w:color w:val="auto"/>
                <w:sz w:val="24"/>
                <w:highlight w:val="none"/>
                <w:vertAlign w:val="subscript"/>
              </w:rPr>
              <w:t>eqg</w:t>
            </w:r>
            <w:r>
              <w:rPr>
                <w:rFonts w:hint="default" w:ascii="Times New Roman" w:hAnsi="Times New Roman" w:cs="Times New Roman"/>
                <w:color w:val="auto"/>
                <w:sz w:val="24"/>
                <w:highlight w:val="none"/>
              </w:rPr>
              <w:t>—噪声贡献值，dB；</w:t>
            </w:r>
          </w:p>
          <w:p w14:paraId="1C7B3526">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T—预测计算的时间段，s；</w:t>
            </w:r>
          </w:p>
          <w:p w14:paraId="0F157E65">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t</w:t>
            </w:r>
            <w:r>
              <w:rPr>
                <w:rFonts w:hint="default" w:ascii="Times New Roman" w:hAnsi="Times New Roman" w:cs="Times New Roman"/>
                <w:color w:val="auto"/>
                <w:sz w:val="24"/>
                <w:highlight w:val="none"/>
                <w:vertAlign w:val="subscript"/>
              </w:rPr>
              <w:t>i</w:t>
            </w:r>
            <w:r>
              <w:rPr>
                <w:rFonts w:hint="default" w:ascii="Times New Roman" w:hAnsi="Times New Roman" w:cs="Times New Roman"/>
                <w:color w:val="auto"/>
                <w:sz w:val="24"/>
                <w:highlight w:val="none"/>
              </w:rPr>
              <w:t>—i声源在T时段内的运行时间，s；</w:t>
            </w:r>
          </w:p>
          <w:p w14:paraId="2FBA9D63">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L</w:t>
            </w:r>
            <w:r>
              <w:rPr>
                <w:rFonts w:hint="default" w:ascii="Times New Roman" w:hAnsi="Times New Roman" w:cs="Times New Roman"/>
                <w:color w:val="auto"/>
                <w:sz w:val="24"/>
                <w:highlight w:val="none"/>
                <w:vertAlign w:val="subscript"/>
              </w:rPr>
              <w:t>Ai</w:t>
            </w:r>
            <w:r>
              <w:rPr>
                <w:rFonts w:hint="default" w:ascii="Times New Roman" w:hAnsi="Times New Roman" w:cs="Times New Roman"/>
                <w:color w:val="auto"/>
                <w:sz w:val="24"/>
                <w:highlight w:val="none"/>
              </w:rPr>
              <w:t>—i声源在预测点产生的等效连续A声级，dB。</w:t>
            </w:r>
          </w:p>
          <w:p w14:paraId="35DF0B09">
            <w:pPr>
              <w:pStyle w:val="60"/>
              <w:spacing w:line="360" w:lineRule="auto"/>
              <w:ind w:firstLine="482"/>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3）噪声衰减的计算</w:t>
            </w:r>
          </w:p>
          <w:p w14:paraId="4425FD0E">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对室外噪声源主要考虑噪声的几何发散衰减，计算公式为：</w:t>
            </w:r>
          </w:p>
          <w:p w14:paraId="46E5691A">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L</w:t>
            </w:r>
            <w:r>
              <w:rPr>
                <w:rFonts w:hint="default" w:ascii="Times New Roman" w:hAnsi="Times New Roman" w:cs="Times New Roman"/>
                <w:color w:val="auto"/>
                <w:sz w:val="24"/>
                <w:highlight w:val="none"/>
                <w:vertAlign w:val="subscript"/>
              </w:rPr>
              <w:t>p(r)</w:t>
            </w:r>
            <w:r>
              <w:rPr>
                <w:rFonts w:hint="default" w:ascii="Times New Roman" w:hAnsi="Times New Roman" w:cs="Times New Roman"/>
                <w:color w:val="auto"/>
                <w:sz w:val="24"/>
                <w:highlight w:val="none"/>
              </w:rPr>
              <w:t>=Lp(r</w:t>
            </w:r>
            <w:r>
              <w:rPr>
                <w:rFonts w:hint="default" w:ascii="Times New Roman" w:hAnsi="Times New Roman" w:cs="Times New Roman"/>
                <w:color w:val="auto"/>
                <w:sz w:val="24"/>
                <w:highlight w:val="none"/>
                <w:vertAlign w:val="subscript"/>
              </w:rPr>
              <w:t>0</w:t>
            </w:r>
            <w:r>
              <w:rPr>
                <w:rFonts w:hint="default" w:ascii="Times New Roman" w:hAnsi="Times New Roman" w:cs="Times New Roman"/>
                <w:color w:val="auto"/>
                <w:sz w:val="24"/>
                <w:highlight w:val="none"/>
              </w:rPr>
              <w:t>)-20lg（r/r</w:t>
            </w:r>
            <w:r>
              <w:rPr>
                <w:rFonts w:hint="default" w:ascii="Times New Roman" w:hAnsi="Times New Roman" w:cs="Times New Roman"/>
                <w:color w:val="auto"/>
                <w:sz w:val="24"/>
                <w:highlight w:val="none"/>
                <w:vertAlign w:val="subscript"/>
              </w:rPr>
              <w:t>0</w:t>
            </w:r>
            <w:r>
              <w:rPr>
                <w:rFonts w:hint="default" w:ascii="Times New Roman" w:hAnsi="Times New Roman" w:cs="Times New Roman"/>
                <w:color w:val="auto"/>
                <w:sz w:val="24"/>
                <w:highlight w:val="none"/>
              </w:rPr>
              <w:t>）</w:t>
            </w:r>
          </w:p>
          <w:p w14:paraId="00828FFC">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式中：L</w:t>
            </w:r>
            <w:r>
              <w:rPr>
                <w:rFonts w:hint="default" w:ascii="Times New Roman" w:hAnsi="Times New Roman" w:cs="Times New Roman"/>
                <w:color w:val="auto"/>
                <w:sz w:val="24"/>
                <w:highlight w:val="none"/>
                <w:vertAlign w:val="subscript"/>
              </w:rPr>
              <w:t>p(r)</w:t>
            </w:r>
            <w:r>
              <w:rPr>
                <w:rFonts w:hint="default" w:ascii="Times New Roman" w:hAnsi="Times New Roman" w:cs="Times New Roman"/>
                <w:color w:val="auto"/>
                <w:sz w:val="24"/>
                <w:highlight w:val="none"/>
              </w:rPr>
              <w:t>—预测点处声压级，dB；</w:t>
            </w:r>
          </w:p>
          <w:p w14:paraId="25DE554A">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L</w:t>
            </w:r>
            <w:r>
              <w:rPr>
                <w:rFonts w:hint="default" w:ascii="Times New Roman" w:hAnsi="Times New Roman" w:cs="Times New Roman"/>
                <w:color w:val="auto"/>
                <w:sz w:val="24"/>
                <w:highlight w:val="none"/>
                <w:vertAlign w:val="subscript"/>
              </w:rPr>
              <w:t>p(r0)</w:t>
            </w:r>
            <w:r>
              <w:rPr>
                <w:rFonts w:hint="default" w:ascii="Times New Roman" w:hAnsi="Times New Roman" w:cs="Times New Roman"/>
                <w:color w:val="auto"/>
                <w:sz w:val="24"/>
                <w:highlight w:val="none"/>
              </w:rPr>
              <w:t>—参考位置r</w:t>
            </w:r>
            <w:r>
              <w:rPr>
                <w:rFonts w:hint="default" w:ascii="Times New Roman" w:hAnsi="Times New Roman" w:cs="Times New Roman"/>
                <w:color w:val="auto"/>
                <w:sz w:val="24"/>
                <w:highlight w:val="none"/>
                <w:vertAlign w:val="subscript"/>
              </w:rPr>
              <w:t>0</w:t>
            </w:r>
            <w:r>
              <w:rPr>
                <w:rFonts w:hint="default" w:ascii="Times New Roman" w:hAnsi="Times New Roman" w:cs="Times New Roman"/>
                <w:color w:val="auto"/>
                <w:sz w:val="24"/>
                <w:highlight w:val="none"/>
              </w:rPr>
              <w:t>处的声压级，dB；</w:t>
            </w:r>
          </w:p>
          <w:p w14:paraId="568A5EFC">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r—预测点距声源的距离；</w:t>
            </w:r>
          </w:p>
          <w:p w14:paraId="4869FD38">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r</w:t>
            </w:r>
            <w:r>
              <w:rPr>
                <w:rFonts w:hint="default" w:ascii="Times New Roman" w:hAnsi="Times New Roman" w:cs="Times New Roman"/>
                <w:color w:val="auto"/>
                <w:sz w:val="24"/>
                <w:highlight w:val="none"/>
                <w:vertAlign w:val="subscript"/>
              </w:rPr>
              <w:t>0</w:t>
            </w:r>
            <w:r>
              <w:rPr>
                <w:rFonts w:hint="default" w:ascii="Times New Roman" w:hAnsi="Times New Roman" w:cs="Times New Roman"/>
                <w:color w:val="auto"/>
                <w:sz w:val="24"/>
                <w:highlight w:val="none"/>
              </w:rPr>
              <w:t>—参考位置距声源的距离。</w:t>
            </w:r>
          </w:p>
          <w:p w14:paraId="5B1E54FF">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①如果已知点声源的倍频带声功率级或A计权声功率级（LAw），且声源处于自由声场，计算公式为：</w:t>
            </w:r>
          </w:p>
          <w:p w14:paraId="5317C18B">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L</w:t>
            </w:r>
            <w:r>
              <w:rPr>
                <w:rFonts w:hint="default" w:ascii="Times New Roman" w:hAnsi="Times New Roman" w:cs="Times New Roman"/>
                <w:color w:val="auto"/>
                <w:sz w:val="24"/>
                <w:highlight w:val="none"/>
                <w:vertAlign w:val="subscript"/>
              </w:rPr>
              <w:t>p(r)</w:t>
            </w:r>
            <w:r>
              <w:rPr>
                <w:rFonts w:hint="default" w:ascii="Times New Roman" w:hAnsi="Times New Roman" w:cs="Times New Roman"/>
                <w:color w:val="auto"/>
                <w:sz w:val="24"/>
                <w:highlight w:val="none"/>
              </w:rPr>
              <w:t>=Lw-20lgr-11</w:t>
            </w:r>
          </w:p>
          <w:p w14:paraId="3E556947">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式中：Lp(r)—预测点处声压级，dB；</w:t>
            </w:r>
          </w:p>
          <w:p w14:paraId="003C28EA">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L</w:t>
            </w:r>
            <w:r>
              <w:rPr>
                <w:rFonts w:hint="default" w:ascii="Times New Roman" w:hAnsi="Times New Roman" w:cs="Times New Roman"/>
                <w:color w:val="auto"/>
                <w:sz w:val="24"/>
                <w:highlight w:val="none"/>
                <w:vertAlign w:val="subscript"/>
              </w:rPr>
              <w:t>w</w:t>
            </w:r>
            <w:r>
              <w:rPr>
                <w:rFonts w:hint="default" w:ascii="Times New Roman" w:hAnsi="Times New Roman" w:cs="Times New Roman"/>
                <w:color w:val="auto"/>
                <w:sz w:val="24"/>
                <w:highlight w:val="none"/>
              </w:rPr>
              <w:t>—由点声源产生的倍频带声功率级，dB；</w:t>
            </w:r>
          </w:p>
          <w:p w14:paraId="18C5F124">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r—预测点距声源的距离。</w:t>
            </w:r>
          </w:p>
          <w:p w14:paraId="713BA1FB">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或通过如下公式计算：</w:t>
            </w:r>
          </w:p>
          <w:p w14:paraId="15F166EA">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L</w:t>
            </w:r>
            <w:r>
              <w:rPr>
                <w:rFonts w:hint="default" w:ascii="Times New Roman" w:hAnsi="Times New Roman" w:cs="Times New Roman"/>
                <w:color w:val="auto"/>
                <w:sz w:val="24"/>
                <w:highlight w:val="none"/>
                <w:vertAlign w:val="subscript"/>
              </w:rPr>
              <w:t>A(r)</w:t>
            </w:r>
            <w:r>
              <w:rPr>
                <w:rFonts w:hint="default" w:ascii="Times New Roman" w:hAnsi="Times New Roman" w:cs="Times New Roman"/>
                <w:color w:val="auto"/>
                <w:sz w:val="24"/>
                <w:highlight w:val="none"/>
              </w:rPr>
              <w:t>=L</w:t>
            </w:r>
            <w:r>
              <w:rPr>
                <w:rFonts w:hint="default" w:ascii="Times New Roman" w:hAnsi="Times New Roman" w:cs="Times New Roman"/>
                <w:color w:val="auto"/>
                <w:sz w:val="24"/>
                <w:highlight w:val="none"/>
                <w:vertAlign w:val="subscript"/>
              </w:rPr>
              <w:t>Aw</w:t>
            </w:r>
            <w:r>
              <w:rPr>
                <w:rFonts w:hint="default" w:ascii="Times New Roman" w:hAnsi="Times New Roman" w:cs="Times New Roman"/>
                <w:color w:val="auto"/>
                <w:sz w:val="24"/>
                <w:highlight w:val="none"/>
              </w:rPr>
              <w:t>-20lgr-11（A.8）</w:t>
            </w:r>
          </w:p>
          <w:p w14:paraId="506DED45">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式中：L</w:t>
            </w:r>
            <w:r>
              <w:rPr>
                <w:rFonts w:hint="default" w:ascii="Times New Roman" w:hAnsi="Times New Roman" w:cs="Times New Roman"/>
                <w:color w:val="auto"/>
                <w:sz w:val="24"/>
                <w:highlight w:val="none"/>
                <w:vertAlign w:val="subscript"/>
              </w:rPr>
              <w:t>A(r)</w:t>
            </w:r>
            <w:r>
              <w:rPr>
                <w:rFonts w:hint="default" w:ascii="Times New Roman" w:hAnsi="Times New Roman" w:cs="Times New Roman"/>
                <w:color w:val="auto"/>
                <w:sz w:val="24"/>
                <w:highlight w:val="none"/>
              </w:rPr>
              <w:t>—距声源r处的A声级，dB(A)；</w:t>
            </w:r>
          </w:p>
          <w:p w14:paraId="23272B7F">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L</w:t>
            </w:r>
            <w:r>
              <w:rPr>
                <w:rFonts w:hint="default" w:ascii="Times New Roman" w:hAnsi="Times New Roman" w:cs="Times New Roman"/>
                <w:color w:val="auto"/>
                <w:sz w:val="24"/>
                <w:highlight w:val="none"/>
                <w:vertAlign w:val="subscript"/>
              </w:rPr>
              <w:t>Aw</w:t>
            </w:r>
            <w:r>
              <w:rPr>
                <w:rFonts w:hint="default" w:ascii="Times New Roman" w:hAnsi="Times New Roman" w:cs="Times New Roman"/>
                <w:color w:val="auto"/>
                <w:sz w:val="24"/>
                <w:highlight w:val="none"/>
              </w:rPr>
              <w:t>—点声源A计权声功率级，dB；</w:t>
            </w:r>
          </w:p>
          <w:p w14:paraId="5DBECDDB">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r—预测点距声源的距离。</w:t>
            </w:r>
          </w:p>
          <w:p w14:paraId="71CB8146">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②如果声源处于半自由声场，计算公式为：</w:t>
            </w:r>
          </w:p>
          <w:p w14:paraId="0BA92E80">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Lp(r)=Lw-20lgr-8</w:t>
            </w:r>
          </w:p>
          <w:p w14:paraId="7C6C5557">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式中：L</w:t>
            </w:r>
            <w:r>
              <w:rPr>
                <w:rFonts w:hint="default" w:ascii="Times New Roman" w:hAnsi="Times New Roman" w:cs="Times New Roman"/>
                <w:color w:val="auto"/>
                <w:sz w:val="24"/>
                <w:highlight w:val="none"/>
                <w:vertAlign w:val="subscript"/>
              </w:rPr>
              <w:t>p(r)</w:t>
            </w:r>
            <w:r>
              <w:rPr>
                <w:rFonts w:hint="default" w:ascii="Times New Roman" w:hAnsi="Times New Roman" w:cs="Times New Roman"/>
                <w:color w:val="auto"/>
                <w:sz w:val="24"/>
                <w:highlight w:val="none"/>
              </w:rPr>
              <w:t>—预测点处声压级，dB；</w:t>
            </w:r>
          </w:p>
          <w:p w14:paraId="313A1FEE">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Lw—由点声源产生的倍频带声功率级，dB；</w:t>
            </w:r>
          </w:p>
          <w:p w14:paraId="057CD06F">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r—预测点距声源的距离。</w:t>
            </w:r>
          </w:p>
          <w:p w14:paraId="5107A8C6">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或通过如下公式计算：</w:t>
            </w:r>
          </w:p>
          <w:p w14:paraId="1F6EC1BB">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L</w:t>
            </w:r>
            <w:r>
              <w:rPr>
                <w:rFonts w:hint="default" w:ascii="Times New Roman" w:hAnsi="Times New Roman" w:cs="Times New Roman"/>
                <w:color w:val="auto"/>
                <w:sz w:val="24"/>
                <w:highlight w:val="none"/>
                <w:vertAlign w:val="subscript"/>
              </w:rPr>
              <w:t>A(r)</w:t>
            </w:r>
            <w:r>
              <w:rPr>
                <w:rFonts w:hint="default" w:ascii="Times New Roman" w:hAnsi="Times New Roman" w:cs="Times New Roman"/>
                <w:color w:val="auto"/>
                <w:sz w:val="24"/>
                <w:highlight w:val="none"/>
              </w:rPr>
              <w:t>=L</w:t>
            </w:r>
            <w:r>
              <w:rPr>
                <w:rFonts w:hint="default" w:ascii="Times New Roman" w:hAnsi="Times New Roman" w:cs="Times New Roman"/>
                <w:color w:val="auto"/>
                <w:sz w:val="24"/>
                <w:highlight w:val="none"/>
                <w:vertAlign w:val="subscript"/>
              </w:rPr>
              <w:t>Aw</w:t>
            </w:r>
            <w:r>
              <w:rPr>
                <w:rFonts w:hint="default" w:ascii="Times New Roman" w:hAnsi="Times New Roman" w:cs="Times New Roman"/>
                <w:color w:val="auto"/>
                <w:sz w:val="24"/>
                <w:highlight w:val="none"/>
              </w:rPr>
              <w:t>-20lgr-8</w:t>
            </w:r>
          </w:p>
          <w:p w14:paraId="1505DAC1">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式中：L</w:t>
            </w:r>
            <w:r>
              <w:rPr>
                <w:rFonts w:hint="default" w:ascii="Times New Roman" w:hAnsi="Times New Roman" w:cs="Times New Roman"/>
                <w:color w:val="auto"/>
                <w:sz w:val="24"/>
                <w:highlight w:val="none"/>
                <w:vertAlign w:val="subscript"/>
              </w:rPr>
              <w:t>A(r)</w:t>
            </w:r>
            <w:r>
              <w:rPr>
                <w:rFonts w:hint="default" w:ascii="Times New Roman" w:hAnsi="Times New Roman" w:cs="Times New Roman"/>
                <w:color w:val="auto"/>
                <w:sz w:val="24"/>
                <w:highlight w:val="none"/>
              </w:rPr>
              <w:t>—距声源r处的A声级，dB(A)；</w:t>
            </w:r>
          </w:p>
          <w:p w14:paraId="113C4B60">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L</w:t>
            </w:r>
            <w:r>
              <w:rPr>
                <w:rFonts w:hint="default" w:ascii="Times New Roman" w:hAnsi="Times New Roman" w:cs="Times New Roman"/>
                <w:color w:val="auto"/>
                <w:sz w:val="24"/>
                <w:highlight w:val="none"/>
                <w:vertAlign w:val="subscript"/>
              </w:rPr>
              <w:t>Aw</w:t>
            </w:r>
            <w:r>
              <w:rPr>
                <w:rFonts w:hint="default" w:ascii="Times New Roman" w:hAnsi="Times New Roman" w:cs="Times New Roman"/>
                <w:color w:val="auto"/>
                <w:sz w:val="24"/>
                <w:highlight w:val="none"/>
              </w:rPr>
              <w:t>—点声源A计权声功率级，dB；</w:t>
            </w:r>
          </w:p>
          <w:p w14:paraId="334D8E2A">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r—预测点距声源的距离。</w:t>
            </w:r>
          </w:p>
          <w:p w14:paraId="4C45485F">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b）指向性点声源几何发散衰减</w:t>
            </w:r>
          </w:p>
          <w:p w14:paraId="394E8A6F">
            <w:pPr>
              <w:pStyle w:val="60"/>
              <w:spacing w:line="360" w:lineRule="auto"/>
              <w:ind w:firstLine="482"/>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4）预测计算结果与对照分析</w:t>
            </w:r>
          </w:p>
          <w:p w14:paraId="4F895DE0">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利用上述模式预测计算，本项目正常生产状况下噪声预测结果达标，具体见下表。</w:t>
            </w:r>
          </w:p>
          <w:p w14:paraId="16A0FA37">
            <w:pPr>
              <w:pStyle w:val="60"/>
              <w:spacing w:line="240" w:lineRule="auto"/>
              <w:ind w:firstLine="0" w:firstLineChars="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表4</w:t>
            </w:r>
            <w:r>
              <w:rPr>
                <w:rFonts w:hint="eastAsia" w:ascii="Times New Roman" w:hAnsi="Times New Roman" w:cs="Times New Roman"/>
                <w:b/>
                <w:bCs/>
                <w:color w:val="auto"/>
                <w:szCs w:val="21"/>
                <w:highlight w:val="none"/>
                <w:lang w:val="en-US" w:eastAsia="zh-CN"/>
              </w:rPr>
              <w:t>-16</w:t>
            </w:r>
            <w:r>
              <w:rPr>
                <w:rFonts w:hint="default" w:ascii="Times New Roman" w:hAnsi="Times New Roman" w:cs="Times New Roman"/>
                <w:b/>
                <w:bCs/>
                <w:color w:val="auto"/>
                <w:szCs w:val="21"/>
                <w:highlight w:val="none"/>
              </w:rPr>
              <w:t xml:space="preserve"> 噪声预测结果</w:t>
            </w:r>
          </w:p>
          <w:tbl>
            <w:tblPr>
              <w:tblStyle w:val="31"/>
              <w:tblW w:w="73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1"/>
              <w:gridCol w:w="1538"/>
              <w:gridCol w:w="2042"/>
              <w:gridCol w:w="2131"/>
            </w:tblGrid>
            <w:tr w14:paraId="70AB3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1631" w:type="dxa"/>
                  <w:vMerge w:val="restart"/>
                  <w:noWrap w:val="0"/>
                  <w:vAlign w:val="center"/>
                </w:tcPr>
                <w:p w14:paraId="1D533472">
                  <w:pPr>
                    <w:pStyle w:val="82"/>
                    <w:widowControl w:val="0"/>
                    <w:spacing w:line="320" w:lineRule="exact"/>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边界</w:t>
                  </w:r>
                </w:p>
              </w:tc>
              <w:tc>
                <w:tcPr>
                  <w:tcW w:w="1538" w:type="dxa"/>
                  <w:vMerge w:val="restart"/>
                  <w:noWrap w:val="0"/>
                  <w:vAlign w:val="center"/>
                </w:tcPr>
                <w:p w14:paraId="6F24197E">
                  <w:pPr>
                    <w:pStyle w:val="82"/>
                    <w:widowControl w:val="0"/>
                    <w:spacing w:line="320" w:lineRule="exact"/>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与车间边界距离/m</w:t>
                  </w:r>
                </w:p>
              </w:tc>
              <w:tc>
                <w:tcPr>
                  <w:tcW w:w="2042" w:type="dxa"/>
                  <w:noWrap w:val="0"/>
                  <w:vAlign w:val="center"/>
                </w:tcPr>
                <w:p w14:paraId="02AD99C7">
                  <w:pPr>
                    <w:pStyle w:val="82"/>
                    <w:widowControl w:val="0"/>
                    <w:spacing w:line="320" w:lineRule="exact"/>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预测值/dB(A)</w:t>
                  </w:r>
                </w:p>
              </w:tc>
              <w:tc>
                <w:tcPr>
                  <w:tcW w:w="2131" w:type="dxa"/>
                  <w:noWrap w:val="0"/>
                  <w:vAlign w:val="center"/>
                </w:tcPr>
                <w:p w14:paraId="6F8AECF9">
                  <w:pPr>
                    <w:pStyle w:val="82"/>
                    <w:widowControl w:val="0"/>
                    <w:spacing w:line="320" w:lineRule="exact"/>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执行标准/dB(A)</w:t>
                  </w:r>
                </w:p>
              </w:tc>
            </w:tr>
            <w:tr w14:paraId="35049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1631" w:type="dxa"/>
                  <w:vMerge w:val="continue"/>
                  <w:noWrap w:val="0"/>
                  <w:vAlign w:val="center"/>
                </w:tcPr>
                <w:p w14:paraId="1010477F">
                  <w:pPr>
                    <w:pStyle w:val="82"/>
                    <w:widowControl w:val="0"/>
                    <w:spacing w:line="320" w:lineRule="exact"/>
                    <w:jc w:val="center"/>
                    <w:rPr>
                      <w:rFonts w:hint="default" w:ascii="Times New Roman" w:hAnsi="Times New Roman" w:cs="Times New Roman"/>
                      <w:b/>
                      <w:bCs/>
                      <w:color w:val="auto"/>
                      <w:sz w:val="21"/>
                      <w:szCs w:val="21"/>
                      <w:highlight w:val="none"/>
                    </w:rPr>
                  </w:pPr>
                </w:p>
              </w:tc>
              <w:tc>
                <w:tcPr>
                  <w:tcW w:w="1538" w:type="dxa"/>
                  <w:vMerge w:val="continue"/>
                  <w:noWrap w:val="0"/>
                  <w:vAlign w:val="center"/>
                </w:tcPr>
                <w:p w14:paraId="0A749EA2">
                  <w:pPr>
                    <w:pStyle w:val="82"/>
                    <w:widowControl w:val="0"/>
                    <w:spacing w:line="320" w:lineRule="exact"/>
                    <w:jc w:val="center"/>
                    <w:rPr>
                      <w:rFonts w:hint="default" w:ascii="Times New Roman" w:hAnsi="Times New Roman" w:cs="Times New Roman"/>
                      <w:b/>
                      <w:bCs/>
                      <w:color w:val="auto"/>
                      <w:sz w:val="21"/>
                      <w:szCs w:val="21"/>
                      <w:highlight w:val="none"/>
                    </w:rPr>
                  </w:pPr>
                </w:p>
              </w:tc>
              <w:tc>
                <w:tcPr>
                  <w:tcW w:w="2042" w:type="dxa"/>
                  <w:noWrap w:val="0"/>
                  <w:vAlign w:val="center"/>
                </w:tcPr>
                <w:p w14:paraId="0A738C5C">
                  <w:pPr>
                    <w:pStyle w:val="82"/>
                    <w:widowControl w:val="0"/>
                    <w:spacing w:line="320" w:lineRule="exact"/>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昼间</w:t>
                  </w:r>
                </w:p>
              </w:tc>
              <w:tc>
                <w:tcPr>
                  <w:tcW w:w="2131" w:type="dxa"/>
                  <w:noWrap w:val="0"/>
                  <w:vAlign w:val="center"/>
                </w:tcPr>
                <w:p w14:paraId="2E195E85">
                  <w:pPr>
                    <w:pStyle w:val="82"/>
                    <w:widowControl w:val="0"/>
                    <w:spacing w:line="320" w:lineRule="exact"/>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昼间</w:t>
                  </w:r>
                </w:p>
              </w:tc>
            </w:tr>
            <w:tr w14:paraId="5416F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1631" w:type="dxa"/>
                  <w:noWrap w:val="0"/>
                  <w:vAlign w:val="center"/>
                </w:tcPr>
                <w:p w14:paraId="6694B3BA">
                  <w:pPr>
                    <w:pStyle w:val="82"/>
                    <w:widowControl w:val="0"/>
                    <w:spacing w:line="32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项目东北边界</w:t>
                  </w:r>
                </w:p>
              </w:tc>
              <w:tc>
                <w:tcPr>
                  <w:tcW w:w="1538" w:type="dxa"/>
                  <w:noWrap w:val="0"/>
                  <w:vAlign w:val="center"/>
                </w:tcPr>
                <w:p w14:paraId="74B3EDF1">
                  <w:pPr>
                    <w:pStyle w:val="82"/>
                    <w:widowControl w:val="0"/>
                    <w:spacing w:line="320" w:lineRule="exact"/>
                    <w:jc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val="en-US" w:eastAsia="zh-CN"/>
                    </w:rPr>
                    <w:t>3</w:t>
                  </w:r>
                </w:p>
              </w:tc>
              <w:tc>
                <w:tcPr>
                  <w:tcW w:w="2042" w:type="dxa"/>
                  <w:noWrap w:val="0"/>
                  <w:vAlign w:val="center"/>
                </w:tcPr>
                <w:p w14:paraId="287A8F78">
                  <w:pPr>
                    <w:pStyle w:val="82"/>
                    <w:widowControl w:val="0"/>
                    <w:spacing w:line="320" w:lineRule="exact"/>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51.6</w:t>
                  </w:r>
                </w:p>
              </w:tc>
              <w:tc>
                <w:tcPr>
                  <w:tcW w:w="2131" w:type="dxa"/>
                  <w:noWrap w:val="0"/>
                  <w:vAlign w:val="center"/>
                </w:tcPr>
                <w:p w14:paraId="744A235D">
                  <w:pPr>
                    <w:pStyle w:val="82"/>
                    <w:widowControl w:val="0"/>
                    <w:spacing w:line="320" w:lineRule="exact"/>
                    <w:jc w:val="center"/>
                    <w:rPr>
                      <w:rFonts w:hint="default" w:ascii="Times New Roman" w:hAnsi="Times New Roman" w:cs="Times New Roman"/>
                      <w:color w:val="auto"/>
                      <w:kern w:val="0"/>
                      <w:sz w:val="21"/>
                      <w:szCs w:val="21"/>
                      <w:highlight w:val="none"/>
                      <w:lang w:val="en-US" w:eastAsia="zh-CN" w:bidi="ar-SA"/>
                    </w:rPr>
                  </w:pPr>
                  <w:r>
                    <w:rPr>
                      <w:rFonts w:hint="eastAsia" w:ascii="Times New Roman" w:hAnsi="Times New Roman" w:cs="Times New Roman"/>
                      <w:color w:val="auto"/>
                      <w:kern w:val="0"/>
                      <w:sz w:val="21"/>
                      <w:szCs w:val="21"/>
                      <w:highlight w:val="none"/>
                      <w:lang w:val="en-US" w:eastAsia="zh-CN" w:bidi="ar-SA"/>
                    </w:rPr>
                    <w:t>65</w:t>
                  </w:r>
                </w:p>
              </w:tc>
            </w:tr>
            <w:tr w14:paraId="7CB92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1631" w:type="dxa"/>
                  <w:noWrap w:val="0"/>
                  <w:vAlign w:val="center"/>
                </w:tcPr>
                <w:p w14:paraId="47A8AEAE">
                  <w:pPr>
                    <w:pStyle w:val="82"/>
                    <w:widowControl w:val="0"/>
                    <w:spacing w:line="32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项目东南边界</w:t>
                  </w:r>
                </w:p>
              </w:tc>
              <w:tc>
                <w:tcPr>
                  <w:tcW w:w="1538" w:type="dxa"/>
                  <w:noWrap w:val="0"/>
                  <w:vAlign w:val="center"/>
                </w:tcPr>
                <w:p w14:paraId="4214DC57">
                  <w:pPr>
                    <w:pStyle w:val="82"/>
                    <w:widowControl w:val="0"/>
                    <w:spacing w:line="320" w:lineRule="exact"/>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w:t>
                  </w:r>
                </w:p>
              </w:tc>
              <w:tc>
                <w:tcPr>
                  <w:tcW w:w="2042" w:type="dxa"/>
                  <w:noWrap w:val="0"/>
                  <w:vAlign w:val="center"/>
                </w:tcPr>
                <w:p w14:paraId="5588C5EB">
                  <w:pPr>
                    <w:widowControl w:val="0"/>
                    <w:autoSpaceDE w:val="0"/>
                    <w:autoSpaceDN w:val="0"/>
                    <w:adjustRightInd w:val="0"/>
                    <w:spacing w:line="32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41.1</w:t>
                  </w:r>
                </w:p>
              </w:tc>
              <w:tc>
                <w:tcPr>
                  <w:tcW w:w="2131" w:type="dxa"/>
                  <w:noWrap w:val="0"/>
                  <w:vAlign w:val="center"/>
                </w:tcPr>
                <w:p w14:paraId="59EA8587">
                  <w:pPr>
                    <w:widowControl w:val="0"/>
                    <w:autoSpaceDE w:val="0"/>
                    <w:autoSpaceDN w:val="0"/>
                    <w:adjustRightInd w:val="0"/>
                    <w:spacing w:line="320" w:lineRule="exact"/>
                    <w:jc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0"/>
                      <w:sz w:val="21"/>
                      <w:szCs w:val="21"/>
                      <w:highlight w:val="none"/>
                      <w:lang w:val="en-US" w:eastAsia="zh-CN" w:bidi="ar-SA"/>
                    </w:rPr>
                    <w:t>65</w:t>
                  </w:r>
                </w:p>
              </w:tc>
            </w:tr>
            <w:tr w14:paraId="6E5C4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1631" w:type="dxa"/>
                  <w:noWrap w:val="0"/>
                  <w:vAlign w:val="center"/>
                </w:tcPr>
                <w:p w14:paraId="6588B266">
                  <w:pPr>
                    <w:pStyle w:val="82"/>
                    <w:widowControl w:val="0"/>
                    <w:spacing w:line="32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项目西南边界</w:t>
                  </w:r>
                </w:p>
              </w:tc>
              <w:tc>
                <w:tcPr>
                  <w:tcW w:w="1538" w:type="dxa"/>
                  <w:noWrap w:val="0"/>
                  <w:vAlign w:val="center"/>
                </w:tcPr>
                <w:p w14:paraId="35279A76">
                  <w:pPr>
                    <w:pStyle w:val="82"/>
                    <w:widowControl w:val="0"/>
                    <w:spacing w:line="320" w:lineRule="exact"/>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w:t>
                  </w:r>
                </w:p>
              </w:tc>
              <w:tc>
                <w:tcPr>
                  <w:tcW w:w="2042" w:type="dxa"/>
                  <w:noWrap w:val="0"/>
                  <w:vAlign w:val="center"/>
                </w:tcPr>
                <w:p w14:paraId="7719A014">
                  <w:pPr>
                    <w:widowControl w:val="0"/>
                    <w:autoSpaceDE w:val="0"/>
                    <w:autoSpaceDN w:val="0"/>
                    <w:adjustRightInd w:val="0"/>
                    <w:spacing w:line="32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43.1</w:t>
                  </w:r>
                </w:p>
              </w:tc>
              <w:tc>
                <w:tcPr>
                  <w:tcW w:w="2131" w:type="dxa"/>
                  <w:noWrap w:val="0"/>
                  <w:vAlign w:val="center"/>
                </w:tcPr>
                <w:p w14:paraId="2A2FA81A">
                  <w:pPr>
                    <w:widowControl w:val="0"/>
                    <w:autoSpaceDE w:val="0"/>
                    <w:autoSpaceDN w:val="0"/>
                    <w:adjustRightInd w:val="0"/>
                    <w:spacing w:line="320" w:lineRule="exact"/>
                    <w:jc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0"/>
                      <w:sz w:val="21"/>
                      <w:szCs w:val="21"/>
                      <w:highlight w:val="none"/>
                      <w:lang w:val="en-US" w:eastAsia="zh-CN" w:bidi="ar-SA"/>
                    </w:rPr>
                    <w:t>65</w:t>
                  </w:r>
                </w:p>
              </w:tc>
            </w:tr>
            <w:tr w14:paraId="0C3FA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1631" w:type="dxa"/>
                  <w:noWrap w:val="0"/>
                  <w:vAlign w:val="center"/>
                </w:tcPr>
                <w:p w14:paraId="08E2F866">
                  <w:pPr>
                    <w:pStyle w:val="82"/>
                    <w:widowControl w:val="0"/>
                    <w:spacing w:line="32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项目西北边界</w:t>
                  </w:r>
                </w:p>
              </w:tc>
              <w:tc>
                <w:tcPr>
                  <w:tcW w:w="1538" w:type="dxa"/>
                  <w:noWrap w:val="0"/>
                  <w:vAlign w:val="center"/>
                </w:tcPr>
                <w:p w14:paraId="35F7A1F1">
                  <w:pPr>
                    <w:pStyle w:val="82"/>
                    <w:widowControl w:val="0"/>
                    <w:spacing w:line="320" w:lineRule="exact"/>
                    <w:jc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val="en-US" w:eastAsia="zh-CN"/>
                    </w:rPr>
                    <w:t>2</w:t>
                  </w:r>
                </w:p>
              </w:tc>
              <w:tc>
                <w:tcPr>
                  <w:tcW w:w="2042" w:type="dxa"/>
                  <w:noWrap w:val="0"/>
                  <w:vAlign w:val="center"/>
                </w:tcPr>
                <w:p w14:paraId="5E05841B">
                  <w:pPr>
                    <w:widowControl w:val="0"/>
                    <w:autoSpaceDE w:val="0"/>
                    <w:autoSpaceDN w:val="0"/>
                    <w:adjustRightInd w:val="0"/>
                    <w:spacing w:line="32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54.8</w:t>
                  </w:r>
                </w:p>
              </w:tc>
              <w:tc>
                <w:tcPr>
                  <w:tcW w:w="2131" w:type="dxa"/>
                  <w:noWrap w:val="0"/>
                  <w:vAlign w:val="center"/>
                </w:tcPr>
                <w:p w14:paraId="18303367">
                  <w:pPr>
                    <w:widowControl w:val="0"/>
                    <w:autoSpaceDE w:val="0"/>
                    <w:autoSpaceDN w:val="0"/>
                    <w:adjustRightInd w:val="0"/>
                    <w:spacing w:line="320" w:lineRule="exact"/>
                    <w:jc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0"/>
                      <w:sz w:val="21"/>
                      <w:szCs w:val="21"/>
                      <w:highlight w:val="none"/>
                      <w:lang w:val="en-US" w:eastAsia="zh-CN" w:bidi="ar-SA"/>
                    </w:rPr>
                    <w:t>65</w:t>
                  </w:r>
                </w:p>
              </w:tc>
            </w:tr>
          </w:tbl>
          <w:p w14:paraId="2455749C">
            <w:pPr>
              <w:pStyle w:val="60"/>
              <w:keepNext w:val="0"/>
              <w:keepLines w:val="0"/>
              <w:pageBreakBefore w:val="0"/>
              <w:widowControl w:val="0"/>
              <w:kinsoku/>
              <w:wordWrap/>
              <w:overflowPunct/>
              <w:topLinePunct w:val="0"/>
              <w:autoSpaceDE/>
              <w:autoSpaceDN/>
              <w:bidi w:val="0"/>
              <w:adjustRightInd/>
              <w:snapToGrid/>
              <w:spacing w:before="157" w:beforeLines="50" w:line="360" w:lineRule="auto"/>
              <w:ind w:firstLine="48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根据上表噪声预测，本项目四周边界噪声可满足《工业企业厂界环境噪声排放标准》（GB12348-2008）3类标准要求。</w:t>
            </w:r>
          </w:p>
          <w:p w14:paraId="4C59D8E8">
            <w:pPr>
              <w:pStyle w:val="60"/>
              <w:spacing w:line="360" w:lineRule="auto"/>
              <w:ind w:firstLine="482"/>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3、噪声污染防治措施</w:t>
            </w:r>
          </w:p>
          <w:p w14:paraId="6A9192A1">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为了更大程度减少项目噪声对周围声环境的影响，确保厂界噪声达标，建议建设单位采取下列措施：</w:t>
            </w:r>
          </w:p>
          <w:p w14:paraId="3A5BA2A3">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（1）合理布局，降低企业总体噪声水平，建设项目总图布置时，将噪声大的噪声源（冲压机）调整放置于厂区中间位置，尽可能远离厂界，通过距离衰减有效降低了厂区中间位置各类高噪设备噪声源的噪声。</w:t>
            </w:r>
          </w:p>
          <w:p w14:paraId="753470A2">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对于各种设备，除选用噪声低的设备外还应采取合理的安装，生产设备的基座在加固的同时要进行必要的减振和减噪声处理，要合理布局噪声源；通风设备通过安装减振垫，风口软接、消声器等来消除振动产生的影响，对于产生高噪声的设备，建议建设单位合理安排安装位置，同时经过隔声板、消音棉、机座加固等必要减振、隔声处理，以减少对周围的影响。</w:t>
            </w:r>
          </w:p>
          <w:p w14:paraId="71FEFB18">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（3）对于生产车间，建议做好隔声墙，利用消音棉、隔声板的隔音、消声措施使噪声能得到较大的衰减，车间的门窗要选用隔声性能良好的铝合金或双层门窗并安装隔音玻璃。</w:t>
            </w:r>
          </w:p>
          <w:p w14:paraId="7C7F4A05">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（4）合理安排生产作业时间，避免休息时段对周边敏感点产生不良影响。</w:t>
            </w:r>
          </w:p>
          <w:p w14:paraId="5B91893A">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（5）加强设备维护和检修，适时添加润滑油防止机械磨损以降低噪声；提高润滑度，减少机械振动和摩擦产生的噪声，防止共振等生产噪声。</w:t>
            </w:r>
          </w:p>
          <w:p w14:paraId="2E9DC884">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以上噪声治理措施容易实施，技术成熟可靠，投资费用较少，在经济上是可行的。</w:t>
            </w:r>
          </w:p>
          <w:p w14:paraId="0CB6447B">
            <w:pPr>
              <w:pStyle w:val="60"/>
              <w:spacing w:line="360" w:lineRule="auto"/>
              <w:ind w:firstLine="482"/>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4、环境监测</w:t>
            </w:r>
          </w:p>
          <w:p w14:paraId="01584A14">
            <w:pPr>
              <w:pStyle w:val="6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运营期项目厂界可布设4个环境噪声监测点，监测边界昼间噪声。噪声自行监测见下表。</w:t>
            </w:r>
          </w:p>
          <w:p w14:paraId="2AB883A0">
            <w:pPr>
              <w:pStyle w:val="60"/>
              <w:spacing w:line="240" w:lineRule="auto"/>
              <w:ind w:firstLine="0" w:firstLineChars="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表4-</w:t>
            </w:r>
            <w:r>
              <w:rPr>
                <w:rFonts w:hint="eastAsia" w:ascii="Times New Roman" w:hAnsi="Times New Roman" w:cs="Times New Roman"/>
                <w:b/>
                <w:bCs/>
                <w:color w:val="auto"/>
                <w:szCs w:val="21"/>
                <w:highlight w:val="none"/>
                <w:lang w:val="en-US" w:eastAsia="zh-CN"/>
              </w:rPr>
              <w:t xml:space="preserve">17  </w:t>
            </w:r>
            <w:r>
              <w:rPr>
                <w:rFonts w:hint="default" w:ascii="Times New Roman" w:hAnsi="Times New Roman" w:cs="Times New Roman"/>
                <w:b/>
                <w:bCs/>
                <w:color w:val="auto"/>
                <w:szCs w:val="21"/>
                <w:highlight w:val="none"/>
              </w:rPr>
              <w:t>项目噪声自行监测计划一览表</w:t>
            </w:r>
          </w:p>
          <w:tbl>
            <w:tblPr>
              <w:tblStyle w:val="31"/>
              <w:tblW w:w="75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9"/>
              <w:gridCol w:w="738"/>
              <w:gridCol w:w="719"/>
              <w:gridCol w:w="2757"/>
              <w:gridCol w:w="886"/>
              <w:gridCol w:w="880"/>
            </w:tblGrid>
            <w:tr w14:paraId="798C4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539" w:type="dxa"/>
                  <w:vMerge w:val="restart"/>
                  <w:noWrap w:val="0"/>
                  <w:vAlign w:val="center"/>
                </w:tcPr>
                <w:p w14:paraId="1A43EFF7">
                  <w:pPr>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监测点位</w:t>
                  </w:r>
                </w:p>
              </w:tc>
              <w:tc>
                <w:tcPr>
                  <w:tcW w:w="738" w:type="dxa"/>
                  <w:vMerge w:val="restart"/>
                  <w:noWrap w:val="0"/>
                  <w:vAlign w:val="center"/>
                </w:tcPr>
                <w:p w14:paraId="42912BD8">
                  <w:pPr>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监测时段</w:t>
                  </w:r>
                </w:p>
              </w:tc>
              <w:tc>
                <w:tcPr>
                  <w:tcW w:w="719" w:type="dxa"/>
                  <w:vMerge w:val="restart"/>
                  <w:noWrap w:val="0"/>
                  <w:vAlign w:val="center"/>
                </w:tcPr>
                <w:p w14:paraId="5D03BE03">
                  <w:pPr>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监测频次</w:t>
                  </w:r>
                </w:p>
              </w:tc>
              <w:tc>
                <w:tcPr>
                  <w:tcW w:w="2757" w:type="dxa"/>
                  <w:vMerge w:val="restart"/>
                  <w:noWrap w:val="0"/>
                  <w:vAlign w:val="center"/>
                </w:tcPr>
                <w:p w14:paraId="1E9F40E4">
                  <w:pPr>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执行排放标准名称</w:t>
                  </w:r>
                </w:p>
              </w:tc>
              <w:tc>
                <w:tcPr>
                  <w:tcW w:w="1766" w:type="dxa"/>
                  <w:gridSpan w:val="2"/>
                  <w:noWrap w:val="0"/>
                  <w:vAlign w:val="center"/>
                </w:tcPr>
                <w:p w14:paraId="4C7508BF">
                  <w:pPr>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厂界噪声排放限值dB（A）</w:t>
                  </w:r>
                </w:p>
              </w:tc>
            </w:tr>
            <w:tr w14:paraId="2E3D3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539" w:type="dxa"/>
                  <w:vMerge w:val="continue"/>
                  <w:noWrap w:val="0"/>
                  <w:vAlign w:val="center"/>
                </w:tcPr>
                <w:p w14:paraId="05FA5B7E">
                  <w:pPr>
                    <w:jc w:val="center"/>
                    <w:rPr>
                      <w:rFonts w:hint="default" w:ascii="Times New Roman" w:hAnsi="Times New Roman" w:cs="Times New Roman"/>
                      <w:b/>
                      <w:bCs/>
                      <w:color w:val="auto"/>
                      <w:highlight w:val="none"/>
                    </w:rPr>
                  </w:pPr>
                </w:p>
              </w:tc>
              <w:tc>
                <w:tcPr>
                  <w:tcW w:w="738" w:type="dxa"/>
                  <w:vMerge w:val="continue"/>
                  <w:noWrap w:val="0"/>
                  <w:vAlign w:val="center"/>
                </w:tcPr>
                <w:p w14:paraId="54EB8A20">
                  <w:pPr>
                    <w:jc w:val="center"/>
                    <w:rPr>
                      <w:rFonts w:hint="default" w:ascii="Times New Roman" w:hAnsi="Times New Roman" w:cs="Times New Roman"/>
                      <w:b/>
                      <w:bCs/>
                      <w:color w:val="auto"/>
                      <w:highlight w:val="none"/>
                    </w:rPr>
                  </w:pPr>
                </w:p>
              </w:tc>
              <w:tc>
                <w:tcPr>
                  <w:tcW w:w="719" w:type="dxa"/>
                  <w:vMerge w:val="continue"/>
                  <w:noWrap w:val="0"/>
                  <w:vAlign w:val="center"/>
                </w:tcPr>
                <w:p w14:paraId="74E2A17D">
                  <w:pPr>
                    <w:jc w:val="center"/>
                    <w:rPr>
                      <w:rFonts w:hint="default" w:ascii="Times New Roman" w:hAnsi="Times New Roman" w:cs="Times New Roman"/>
                      <w:b/>
                      <w:bCs/>
                      <w:color w:val="auto"/>
                      <w:highlight w:val="none"/>
                    </w:rPr>
                  </w:pPr>
                </w:p>
              </w:tc>
              <w:tc>
                <w:tcPr>
                  <w:tcW w:w="2757" w:type="dxa"/>
                  <w:vMerge w:val="continue"/>
                  <w:noWrap w:val="0"/>
                  <w:vAlign w:val="center"/>
                </w:tcPr>
                <w:p w14:paraId="4CCCEA2C">
                  <w:pPr>
                    <w:jc w:val="center"/>
                    <w:rPr>
                      <w:rFonts w:hint="default" w:ascii="Times New Roman" w:hAnsi="Times New Roman" w:cs="Times New Roman"/>
                      <w:b/>
                      <w:bCs/>
                      <w:color w:val="auto"/>
                      <w:highlight w:val="none"/>
                    </w:rPr>
                  </w:pPr>
                </w:p>
              </w:tc>
              <w:tc>
                <w:tcPr>
                  <w:tcW w:w="886" w:type="dxa"/>
                  <w:noWrap w:val="0"/>
                  <w:vAlign w:val="center"/>
                </w:tcPr>
                <w:p w14:paraId="78E907C4">
                  <w:pPr>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昼间</w:t>
                  </w:r>
                </w:p>
              </w:tc>
              <w:tc>
                <w:tcPr>
                  <w:tcW w:w="880" w:type="dxa"/>
                  <w:noWrap w:val="0"/>
                  <w:vAlign w:val="center"/>
                </w:tcPr>
                <w:p w14:paraId="3B841B70">
                  <w:pPr>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夜间dB</w:t>
                  </w:r>
                </w:p>
              </w:tc>
            </w:tr>
            <w:tr w14:paraId="4D05C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39" w:type="dxa"/>
                  <w:noWrap w:val="0"/>
                  <w:vAlign w:val="center"/>
                </w:tcPr>
                <w:p w14:paraId="0D981BAA">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厂界东北、东南、西南、西北面</w:t>
                  </w:r>
                </w:p>
              </w:tc>
              <w:tc>
                <w:tcPr>
                  <w:tcW w:w="738" w:type="dxa"/>
                  <w:noWrap w:val="0"/>
                  <w:vAlign w:val="center"/>
                </w:tcPr>
                <w:p w14:paraId="6553593F">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昼间</w:t>
                  </w:r>
                </w:p>
              </w:tc>
              <w:tc>
                <w:tcPr>
                  <w:tcW w:w="719" w:type="dxa"/>
                  <w:noWrap w:val="0"/>
                  <w:vAlign w:val="center"/>
                </w:tcPr>
                <w:p w14:paraId="203B3FE7">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1次/季度</w:t>
                  </w:r>
                </w:p>
              </w:tc>
              <w:tc>
                <w:tcPr>
                  <w:tcW w:w="2757" w:type="dxa"/>
                  <w:noWrap w:val="0"/>
                  <w:vAlign w:val="center"/>
                </w:tcPr>
                <w:p w14:paraId="1E018574">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《工业企业厂界环境噪声排放标准》（GB12348-2008）3类标准</w:t>
                  </w:r>
                </w:p>
              </w:tc>
              <w:tc>
                <w:tcPr>
                  <w:tcW w:w="886" w:type="dxa"/>
                  <w:noWrap w:val="0"/>
                  <w:vAlign w:val="center"/>
                </w:tcPr>
                <w:p w14:paraId="58ED4DEF">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65</w:t>
                  </w:r>
                </w:p>
              </w:tc>
              <w:tc>
                <w:tcPr>
                  <w:tcW w:w="880" w:type="dxa"/>
                  <w:noWrap w:val="0"/>
                  <w:vAlign w:val="center"/>
                </w:tcPr>
                <w:p w14:paraId="42EBBEFA">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55</w:t>
                  </w:r>
                </w:p>
              </w:tc>
            </w:tr>
          </w:tbl>
          <w:p w14:paraId="504DEB5A">
            <w:pPr>
              <w:keepNext w:val="0"/>
              <w:keepLines w:val="0"/>
              <w:suppressLineNumbers w:val="0"/>
              <w:spacing w:before="0" w:beforeAutospacing="0" w:after="0" w:afterAutospacing="0"/>
              <w:ind w:left="0" w:right="0"/>
              <w:rPr>
                <w:rFonts w:hint="eastAsia" w:ascii="Times New Roman" w:hAnsi="Times New Roman" w:eastAsia="宋体" w:cs="Times New Roman"/>
                <w:color w:val="auto"/>
                <w:sz w:val="24"/>
                <w:szCs w:val="24"/>
                <w:highlight w:val="none"/>
                <w:lang w:val="en-US" w:eastAsia="zh-CN"/>
              </w:rPr>
            </w:pPr>
          </w:p>
          <w:p w14:paraId="6FD6DEFE">
            <w:pPr>
              <w:pStyle w:val="19"/>
              <w:keepNext w:val="0"/>
              <w:keepLines w:val="0"/>
              <w:suppressLineNumbers w:val="0"/>
              <w:spacing w:before="0" w:beforeAutospacing="0" w:after="0" w:afterAutospacing="0"/>
              <w:ind w:left="0" w:right="0" w:firstLine="482" w:firstLineChars="200"/>
              <w:rPr>
                <w:rFonts w:hint="default" w:ascii="Times New Roman" w:hAnsi="Times New Roman" w:eastAsia="宋体" w:cs="Times New Roman"/>
                <w:b/>
                <w:bCs/>
                <w:color w:val="auto"/>
                <w:sz w:val="24"/>
                <w:szCs w:val="22"/>
                <w:highlight w:val="none"/>
              </w:rPr>
            </w:pPr>
            <w:r>
              <w:rPr>
                <w:rFonts w:hint="eastAsia" w:ascii="Times New Roman" w:hAnsi="Times New Roman" w:eastAsia="宋体" w:cs="Times New Roman"/>
                <w:b/>
                <w:bCs/>
                <w:color w:val="auto"/>
                <w:sz w:val="24"/>
                <w:szCs w:val="22"/>
                <w:highlight w:val="none"/>
                <w:lang w:val="en-US" w:eastAsia="zh-CN"/>
              </w:rPr>
              <w:t>四、</w:t>
            </w:r>
            <w:r>
              <w:rPr>
                <w:rFonts w:hint="default" w:ascii="Times New Roman" w:hAnsi="Times New Roman" w:eastAsia="宋体" w:cs="Times New Roman"/>
                <w:b/>
                <w:bCs/>
                <w:color w:val="auto"/>
                <w:sz w:val="24"/>
                <w:szCs w:val="22"/>
                <w:highlight w:val="none"/>
              </w:rPr>
              <w:t>固体废物污染源</w:t>
            </w:r>
          </w:p>
          <w:p w14:paraId="3A0315E8">
            <w:pPr>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p>
          <w:p w14:paraId="0E297F80">
            <w:pPr>
              <w:keepNext w:val="0"/>
              <w:keepLines w:val="0"/>
              <w:suppressLineNumbers w:val="0"/>
              <w:snapToGrid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项目固体废弃物来源包括员工</w:t>
            </w:r>
            <w:r>
              <w:rPr>
                <w:rFonts w:hint="default" w:ascii="Times New Roman" w:hAnsi="Times New Roman" w:eastAsia="宋体" w:cs="Times New Roman"/>
                <w:color w:val="auto"/>
                <w:sz w:val="24"/>
                <w:highlight w:val="none"/>
                <w:lang w:val="en-US" w:eastAsia="zh-CN"/>
              </w:rPr>
              <w:t>日常生活产生的</w:t>
            </w:r>
            <w:r>
              <w:rPr>
                <w:rFonts w:hint="default" w:ascii="Times New Roman" w:hAnsi="Times New Roman" w:eastAsia="宋体" w:cs="Times New Roman"/>
                <w:color w:val="auto"/>
                <w:sz w:val="24"/>
                <w:highlight w:val="none"/>
              </w:rPr>
              <w:t>生活垃圾；</w:t>
            </w:r>
            <w:r>
              <w:rPr>
                <w:rFonts w:hint="default" w:ascii="Times New Roman" w:hAnsi="Times New Roman" w:eastAsia="宋体" w:cs="Times New Roman"/>
                <w:color w:val="auto"/>
                <w:sz w:val="24"/>
                <w:highlight w:val="none"/>
                <w:lang w:eastAsia="zh-CN"/>
              </w:rPr>
              <w:t>原纸开料、模切等工序产生的边角料；</w:t>
            </w:r>
            <w:r>
              <w:rPr>
                <w:rFonts w:hint="eastAsia" w:ascii="Times New Roman" w:hAnsi="Times New Roman" w:eastAsia="宋体" w:cs="Times New Roman"/>
                <w:color w:val="auto"/>
                <w:sz w:val="24"/>
                <w:highlight w:val="none"/>
                <w:lang w:val="en-US" w:eastAsia="zh-CN"/>
              </w:rPr>
              <w:t>油墨、</w:t>
            </w:r>
            <w:r>
              <w:rPr>
                <w:rFonts w:hint="eastAsia" w:cs="Times New Roman"/>
                <w:color w:val="auto"/>
                <w:sz w:val="24"/>
                <w:highlight w:val="none"/>
                <w:lang w:val="en-US" w:eastAsia="zh-CN"/>
              </w:rPr>
              <w:t>封口胶</w:t>
            </w:r>
            <w:r>
              <w:rPr>
                <w:rFonts w:hint="eastAsia" w:ascii="Times New Roman" w:hAnsi="Times New Roman" w:eastAsia="宋体" w:cs="Times New Roman"/>
                <w:color w:val="auto"/>
                <w:sz w:val="24"/>
                <w:highlight w:val="none"/>
                <w:lang w:val="en-US" w:eastAsia="zh-CN"/>
              </w:rPr>
              <w:t>、清洗剂</w:t>
            </w:r>
            <w:r>
              <w:rPr>
                <w:rFonts w:hint="eastAsia" w:cs="Times New Roman"/>
                <w:color w:val="auto"/>
                <w:sz w:val="24"/>
                <w:highlight w:val="none"/>
                <w:lang w:val="en-US" w:eastAsia="zh-CN"/>
              </w:rPr>
              <w:t>、天那水</w:t>
            </w:r>
            <w:r>
              <w:rPr>
                <w:rFonts w:hint="eastAsia" w:ascii="Times New Roman" w:hAnsi="Times New Roman" w:eastAsia="宋体" w:cs="Times New Roman"/>
                <w:color w:val="auto"/>
                <w:sz w:val="24"/>
                <w:highlight w:val="none"/>
                <w:lang w:val="en-US" w:eastAsia="zh-CN"/>
              </w:rPr>
              <w:t>等废弃的包装物</w:t>
            </w:r>
            <w:r>
              <w:rPr>
                <w:rFonts w:hint="default"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清洗油墨产生的废抹布、废橡胶抹布；制版工序产生的废PS版；手工清洗胶印机产生的清洗废水；印刷过程产生的废油墨渣；自动模切机等设备产生的废机油；废气治理产生的废活性炭</w:t>
            </w:r>
            <w:r>
              <w:rPr>
                <w:rFonts w:hint="default" w:ascii="Times New Roman" w:hAnsi="Times New Roman" w:eastAsia="宋体" w:cs="Times New Roman"/>
                <w:color w:val="auto"/>
                <w:sz w:val="24"/>
                <w:highlight w:val="none"/>
              </w:rPr>
              <w:t>。</w:t>
            </w:r>
          </w:p>
          <w:p w14:paraId="67E460DD">
            <w:pPr>
              <w:keepNext w:val="0"/>
              <w:keepLines w:val="0"/>
              <w:suppressLineNumbers w:val="0"/>
              <w:snapToGrid w:val="0"/>
              <w:spacing w:before="0" w:beforeAutospacing="0" w:after="0" w:afterAutospacing="0" w:line="360" w:lineRule="auto"/>
              <w:ind w:left="0" w:right="0" w:firstLine="482" w:firstLineChars="200"/>
              <w:jc w:val="left"/>
              <w:rPr>
                <w:rFonts w:hint="default" w:ascii="Times New Roman" w:hAnsi="Times New Roman" w:eastAsia="宋体" w:cs="Times New Roman"/>
                <w:b/>
                <w:color w:val="auto"/>
                <w:sz w:val="24"/>
                <w:highlight w:val="none"/>
                <w:lang w:val="en-US" w:eastAsia="zh-CN"/>
              </w:rPr>
            </w:pPr>
            <w:r>
              <w:rPr>
                <w:rFonts w:hint="eastAsia" w:ascii="Times New Roman" w:hAnsi="Times New Roman" w:eastAsia="宋体" w:cs="Times New Roman"/>
                <w:b/>
                <w:color w:val="auto"/>
                <w:sz w:val="24"/>
                <w:highlight w:val="none"/>
                <w:lang w:val="en-US" w:eastAsia="zh-CN"/>
              </w:rPr>
              <w:t>1、产生量分析</w:t>
            </w:r>
          </w:p>
          <w:p w14:paraId="70308938">
            <w:pPr>
              <w:keepNext w:val="0"/>
              <w:keepLines w:val="0"/>
              <w:suppressLineNumbers w:val="0"/>
              <w:snapToGrid w:val="0"/>
              <w:spacing w:before="0" w:beforeAutospacing="0" w:after="0" w:afterAutospacing="0" w:line="360" w:lineRule="auto"/>
              <w:ind w:left="0" w:right="0" w:firstLine="482" w:firstLineChars="200"/>
              <w:jc w:val="left"/>
              <w:rPr>
                <w:rFonts w:hint="default" w:ascii="Times New Roman" w:hAnsi="Times New Roman" w:eastAsia="宋体" w:cs="Times New Roman"/>
                <w:b/>
                <w:color w:val="auto"/>
                <w:sz w:val="24"/>
                <w:highlight w:val="none"/>
              </w:rPr>
            </w:pPr>
            <w:r>
              <w:rPr>
                <w:rFonts w:hint="eastAsia" w:ascii="Times New Roman" w:hAnsi="Times New Roman" w:eastAsia="宋体" w:cs="Times New Roman"/>
                <w:b/>
                <w:color w:val="auto"/>
                <w:sz w:val="24"/>
                <w:highlight w:val="none"/>
                <w:lang w:val="en-US" w:eastAsia="zh-CN"/>
              </w:rPr>
              <w:t>（1）</w:t>
            </w:r>
            <w:r>
              <w:rPr>
                <w:rFonts w:hint="default" w:ascii="Times New Roman" w:hAnsi="Times New Roman" w:eastAsia="宋体" w:cs="Times New Roman"/>
                <w:b/>
                <w:color w:val="auto"/>
                <w:sz w:val="24"/>
                <w:highlight w:val="none"/>
              </w:rPr>
              <w:t>生活垃圾</w:t>
            </w:r>
          </w:p>
          <w:p w14:paraId="45C21805">
            <w:pPr>
              <w:keepNext w:val="0"/>
              <w:keepLines w:val="0"/>
              <w:suppressLineNumbers w:val="0"/>
              <w:snapToGrid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本项目员工</w:t>
            </w:r>
            <w:r>
              <w:rPr>
                <w:rFonts w:hint="default" w:ascii="Times New Roman" w:hAnsi="Times New Roman" w:eastAsia="宋体" w:cs="Times New Roman"/>
                <w:color w:val="auto"/>
                <w:sz w:val="24"/>
                <w:highlight w:val="none"/>
                <w:lang w:val="en-US" w:eastAsia="zh-CN"/>
              </w:rPr>
              <w:t>20</w:t>
            </w:r>
            <w:r>
              <w:rPr>
                <w:rFonts w:hint="default" w:ascii="Times New Roman" w:hAnsi="Times New Roman" w:eastAsia="宋体" w:cs="Times New Roman"/>
                <w:color w:val="auto"/>
                <w:sz w:val="24"/>
                <w:highlight w:val="none"/>
              </w:rPr>
              <w:t>人，年工作300天，根据《社会区域类环境影响评价》（中国环境科学出版社），员工生活垃圾产生系数按0.5kg/人·d 计，则生活垃圾产生量为</w:t>
            </w:r>
            <w:r>
              <w:rPr>
                <w:rFonts w:hint="default" w:ascii="Times New Roman" w:hAnsi="Times New Roman" w:eastAsia="宋体" w:cs="Times New Roman"/>
                <w:color w:val="auto"/>
                <w:sz w:val="24"/>
                <w:highlight w:val="none"/>
                <w:lang w:val="en-US" w:eastAsia="zh-CN"/>
              </w:rPr>
              <w:t>3</w:t>
            </w:r>
            <w:r>
              <w:rPr>
                <w:rFonts w:hint="default" w:ascii="Times New Roman" w:hAnsi="Times New Roman" w:eastAsia="宋体" w:cs="Times New Roman"/>
                <w:color w:val="auto"/>
                <w:sz w:val="24"/>
                <w:highlight w:val="none"/>
              </w:rPr>
              <w:t>t/a，定期委托环卫部门清运。</w:t>
            </w:r>
          </w:p>
          <w:p w14:paraId="615AFE4E">
            <w:pPr>
              <w:keepNext w:val="0"/>
              <w:keepLines w:val="0"/>
              <w:suppressLineNumbers w:val="0"/>
              <w:snapToGrid w:val="0"/>
              <w:spacing w:before="0" w:beforeAutospacing="0" w:after="0" w:afterAutospacing="0" w:line="360" w:lineRule="auto"/>
              <w:ind w:left="0" w:right="0" w:firstLine="482" w:firstLineChars="200"/>
              <w:jc w:val="left"/>
              <w:rPr>
                <w:rFonts w:hint="default" w:ascii="Times New Roman" w:hAnsi="Times New Roman" w:eastAsia="宋体" w:cs="Times New Roman"/>
                <w:b/>
                <w:color w:val="auto"/>
                <w:sz w:val="24"/>
                <w:highlight w:val="none"/>
                <w:lang w:val="en-US" w:eastAsia="zh-CN"/>
              </w:rPr>
            </w:pPr>
            <w:r>
              <w:rPr>
                <w:rFonts w:hint="eastAsia" w:ascii="Times New Roman" w:hAnsi="Times New Roman" w:eastAsia="宋体" w:cs="Times New Roman"/>
                <w:b/>
                <w:color w:val="auto"/>
                <w:sz w:val="24"/>
                <w:highlight w:val="none"/>
                <w:lang w:val="en-US" w:eastAsia="zh-CN"/>
              </w:rPr>
              <w:t>（2）纸板边角料</w:t>
            </w:r>
          </w:p>
          <w:p w14:paraId="5C2BE343">
            <w:pPr>
              <w:keepNext w:val="0"/>
              <w:keepLines w:val="0"/>
              <w:suppressLineNumbers w:val="0"/>
              <w:snapToGrid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根据企业提供的资料</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预计项目</w:t>
            </w:r>
            <w:r>
              <w:rPr>
                <w:rFonts w:hint="default" w:ascii="Times New Roman" w:hAnsi="Times New Roman" w:eastAsia="宋体" w:cs="Times New Roman"/>
                <w:color w:val="auto"/>
                <w:sz w:val="24"/>
                <w:highlight w:val="none"/>
                <w:lang w:val="en-US" w:eastAsia="zh-CN"/>
              </w:rPr>
              <w:t>纸板</w:t>
            </w:r>
            <w:r>
              <w:rPr>
                <w:rFonts w:hint="default" w:ascii="Times New Roman" w:hAnsi="Times New Roman" w:eastAsia="宋体" w:cs="Times New Roman"/>
                <w:color w:val="auto"/>
                <w:sz w:val="24"/>
                <w:highlight w:val="none"/>
              </w:rPr>
              <w:t>边角料</w:t>
            </w:r>
            <w:r>
              <w:rPr>
                <w:rFonts w:hint="eastAsia" w:ascii="Times New Roman" w:hAnsi="Times New Roman" w:eastAsia="宋体" w:cs="Times New Roman"/>
                <w:color w:val="auto"/>
                <w:sz w:val="24"/>
                <w:highlight w:val="none"/>
                <w:lang w:val="en-US" w:eastAsia="zh-CN"/>
              </w:rPr>
              <w:t>年</w:t>
            </w:r>
            <w:r>
              <w:rPr>
                <w:rFonts w:hint="default" w:ascii="Times New Roman" w:hAnsi="Times New Roman" w:eastAsia="宋体" w:cs="Times New Roman"/>
                <w:color w:val="auto"/>
                <w:sz w:val="24"/>
                <w:highlight w:val="none"/>
                <w:lang w:val="en-US" w:eastAsia="zh-CN"/>
              </w:rPr>
              <w:t>产生量</w:t>
            </w:r>
            <w:r>
              <w:rPr>
                <w:rFonts w:hint="default" w:ascii="Times New Roman" w:hAnsi="Times New Roman" w:eastAsia="宋体" w:cs="Times New Roman"/>
                <w:color w:val="auto"/>
                <w:sz w:val="24"/>
                <w:highlight w:val="none"/>
              </w:rPr>
              <w:t>约为</w:t>
            </w:r>
            <w:r>
              <w:rPr>
                <w:rFonts w:hint="eastAsia" w:ascii="Times New Roman" w:hAnsi="Times New Roman" w:eastAsia="宋体" w:cs="Times New Roman"/>
                <w:color w:val="auto"/>
                <w:sz w:val="24"/>
                <w:highlight w:val="none"/>
                <w:lang w:val="en-US" w:eastAsia="zh-CN"/>
              </w:rPr>
              <w:t>5</w:t>
            </w:r>
            <w:r>
              <w:rPr>
                <w:rFonts w:hint="default" w:ascii="Times New Roman" w:hAnsi="Times New Roman" w:eastAsia="宋体" w:cs="Times New Roman"/>
                <w:color w:val="auto"/>
                <w:sz w:val="24"/>
                <w:highlight w:val="none"/>
              </w:rPr>
              <w:t>t/a</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属于一般工业固体废物</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kern w:val="2"/>
                <w:sz w:val="24"/>
                <w:szCs w:val="24"/>
                <w:highlight w:val="none"/>
                <w:lang w:val="en-US" w:eastAsia="zh-CN" w:bidi="ar-SA"/>
              </w:rPr>
              <w:t>根据《固体废物分类与代码目录》（2024年版），该废物SW17可再生类废物废物，代码为900-005-S17，统一收集后交由专业回收公司回收处理。</w:t>
            </w:r>
          </w:p>
          <w:p w14:paraId="6CFAD97C">
            <w:pPr>
              <w:keepNext w:val="0"/>
              <w:keepLines w:val="0"/>
              <w:numPr>
                <w:ilvl w:val="0"/>
                <w:numId w:val="0"/>
              </w:numPr>
              <w:suppressLineNumbers w:val="0"/>
              <w:snapToGrid w:val="0"/>
              <w:spacing w:before="0" w:beforeAutospacing="0" w:after="0" w:afterAutospacing="0" w:line="360" w:lineRule="auto"/>
              <w:ind w:left="420" w:leftChars="200" w:right="0"/>
              <w:jc w:val="left"/>
              <w:rPr>
                <w:rFonts w:hint="default" w:ascii="Times New Roman" w:hAnsi="Times New Roman" w:eastAsia="宋体" w:cs="Times New Roman"/>
                <w:b/>
                <w:color w:val="auto"/>
                <w:sz w:val="24"/>
                <w:highlight w:val="none"/>
              </w:rPr>
            </w:pPr>
            <w:r>
              <w:rPr>
                <w:rFonts w:hint="eastAsia" w:ascii="Times New Roman" w:hAnsi="Times New Roman" w:eastAsia="宋体" w:cs="Times New Roman"/>
                <w:b/>
                <w:color w:val="auto"/>
                <w:sz w:val="24"/>
                <w:highlight w:val="none"/>
                <w:lang w:val="en-US" w:eastAsia="zh-CN"/>
              </w:rPr>
              <w:t>（3）废包装物</w:t>
            </w:r>
          </w:p>
          <w:p w14:paraId="66675CA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422" w:firstLineChars="200"/>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表4</w:t>
            </w:r>
            <w:r>
              <w:rPr>
                <w:rFonts w:hint="eastAsia" w:cs="Times New Roman"/>
                <w:b/>
                <w:bCs/>
                <w:color w:val="auto"/>
                <w:sz w:val="21"/>
                <w:szCs w:val="21"/>
                <w:highlight w:val="none"/>
                <w:lang w:val="en-US" w:eastAsia="zh-CN"/>
              </w:rPr>
              <w:t>-1</w:t>
            </w:r>
            <w:r>
              <w:rPr>
                <w:rFonts w:hint="eastAsia" w:ascii="Times New Roman" w:hAnsi="Times New Roman" w:eastAsia="宋体" w:cs="Times New Roman"/>
                <w:b/>
                <w:bCs/>
                <w:color w:val="auto"/>
                <w:sz w:val="21"/>
                <w:szCs w:val="21"/>
                <w:highlight w:val="none"/>
                <w:lang w:val="en-US" w:eastAsia="zh-CN"/>
              </w:rPr>
              <w:t>8 废弃包装物产生情况一览表</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
              <w:gridCol w:w="1530"/>
              <w:gridCol w:w="900"/>
              <w:gridCol w:w="1110"/>
              <w:gridCol w:w="1095"/>
              <w:gridCol w:w="1170"/>
              <w:gridCol w:w="1363"/>
            </w:tblGrid>
            <w:tr w14:paraId="7EC25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noWrap w:val="0"/>
                  <w:vAlign w:val="top"/>
                </w:tcPr>
                <w:p w14:paraId="6D7675F0">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序号</w:t>
                  </w:r>
                </w:p>
              </w:tc>
              <w:tc>
                <w:tcPr>
                  <w:tcW w:w="1530" w:type="dxa"/>
                  <w:noWrap w:val="0"/>
                  <w:vAlign w:val="top"/>
                </w:tcPr>
                <w:p w14:paraId="2C040118">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固废名称</w:t>
                  </w:r>
                </w:p>
              </w:tc>
              <w:tc>
                <w:tcPr>
                  <w:tcW w:w="900" w:type="dxa"/>
                  <w:noWrap w:val="0"/>
                  <w:vAlign w:val="top"/>
                </w:tcPr>
                <w:p w14:paraId="1F60AB20">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年用量</w:t>
                  </w:r>
                </w:p>
              </w:tc>
              <w:tc>
                <w:tcPr>
                  <w:tcW w:w="1110" w:type="dxa"/>
                  <w:noWrap w:val="0"/>
                  <w:vAlign w:val="top"/>
                </w:tcPr>
                <w:p w14:paraId="0EC67B4B">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包装规格</w:t>
                  </w:r>
                </w:p>
              </w:tc>
              <w:tc>
                <w:tcPr>
                  <w:tcW w:w="1095" w:type="dxa"/>
                  <w:noWrap w:val="0"/>
                  <w:vAlign w:val="top"/>
                </w:tcPr>
                <w:p w14:paraId="60C9696E">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废桶个数</w:t>
                  </w:r>
                </w:p>
              </w:tc>
              <w:tc>
                <w:tcPr>
                  <w:tcW w:w="1170" w:type="dxa"/>
                  <w:noWrap w:val="0"/>
                  <w:vAlign w:val="top"/>
                </w:tcPr>
                <w:p w14:paraId="510014D2">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固废属性</w:t>
                  </w:r>
                </w:p>
              </w:tc>
              <w:tc>
                <w:tcPr>
                  <w:tcW w:w="1363" w:type="dxa"/>
                  <w:noWrap w:val="0"/>
                  <w:vAlign w:val="top"/>
                </w:tcPr>
                <w:p w14:paraId="2FA7AFF8">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代码</w:t>
                  </w:r>
                </w:p>
              </w:tc>
            </w:tr>
            <w:tr w14:paraId="29F1B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noWrap w:val="0"/>
                  <w:vAlign w:val="top"/>
                </w:tcPr>
                <w:p w14:paraId="6E9FFD66">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1</w:t>
                  </w:r>
                </w:p>
              </w:tc>
              <w:tc>
                <w:tcPr>
                  <w:tcW w:w="1530" w:type="dxa"/>
                  <w:noWrap w:val="0"/>
                  <w:vAlign w:val="top"/>
                </w:tcPr>
                <w:p w14:paraId="3D77DF70">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大豆油墨废瓶</w:t>
                  </w:r>
                </w:p>
              </w:tc>
              <w:tc>
                <w:tcPr>
                  <w:tcW w:w="900" w:type="dxa"/>
                  <w:noWrap w:val="0"/>
                  <w:vAlign w:val="top"/>
                </w:tcPr>
                <w:p w14:paraId="72482A50">
                  <w:pPr>
                    <w:keepNext w:val="0"/>
                    <w:keepLines w:val="0"/>
                    <w:widowControl/>
                    <w:suppressLineNumbers w:val="0"/>
                    <w:jc w:val="center"/>
                    <w:textAlignment w:val="top"/>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02</w:t>
                  </w:r>
                  <w:r>
                    <w:rPr>
                      <w:rFonts w:hint="default" w:ascii="Times New Roman" w:hAnsi="Times New Roman" w:eastAsia="宋体" w:cs="Times New Roman"/>
                      <w:i w:val="0"/>
                      <w:iCs w:val="0"/>
                      <w:color w:val="auto"/>
                      <w:kern w:val="0"/>
                      <w:sz w:val="21"/>
                      <w:szCs w:val="21"/>
                      <w:u w:val="none"/>
                      <w:lang w:val="en-US" w:eastAsia="zh-CN" w:bidi="ar"/>
                    </w:rPr>
                    <w:t>t/a</w:t>
                  </w:r>
                </w:p>
              </w:tc>
              <w:tc>
                <w:tcPr>
                  <w:tcW w:w="1110" w:type="dxa"/>
                  <w:noWrap w:val="0"/>
                  <w:vAlign w:val="center"/>
                </w:tcPr>
                <w:p w14:paraId="3D430BEE">
                  <w:pPr>
                    <w:pStyle w:val="80"/>
                    <w:keepNext w:val="0"/>
                    <w:keepLines w:val="0"/>
                    <w:pageBreakBefore w:val="0"/>
                    <w:widowControl w:val="0"/>
                    <w:suppressLineNumbers w:val="0"/>
                    <w:kinsoku/>
                    <w:wordWrap/>
                    <w:overflowPunct/>
                    <w:topLinePunct w:val="0"/>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kern w:val="2"/>
                      <w:sz w:val="21"/>
                      <w:szCs w:val="21"/>
                      <w:highlight w:val="none"/>
                      <w:vertAlign w:val="baseline"/>
                      <w:lang w:val="en-US" w:eastAsia="zh-CN" w:bidi="ar-SA"/>
                    </w:rPr>
                    <w:t>15kg/瓶</w:t>
                  </w:r>
                </w:p>
              </w:tc>
              <w:tc>
                <w:tcPr>
                  <w:tcW w:w="1095" w:type="dxa"/>
                  <w:noWrap w:val="0"/>
                  <w:vAlign w:val="top"/>
                </w:tcPr>
                <w:p w14:paraId="77D74CC7">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100</w:t>
                  </w:r>
                  <w:r>
                    <w:rPr>
                      <w:rFonts w:hint="eastAsia" w:ascii="Times New Roman" w:hAnsi="Times New Roman" w:eastAsia="宋体" w:cs="Times New Roman"/>
                      <w:b w:val="0"/>
                      <w:bCs w:val="0"/>
                      <w:color w:val="auto"/>
                      <w:kern w:val="2"/>
                      <w:sz w:val="21"/>
                      <w:szCs w:val="21"/>
                      <w:highlight w:val="none"/>
                      <w:vertAlign w:val="baseline"/>
                      <w:lang w:val="en-US" w:eastAsia="zh-CN" w:bidi="ar-SA"/>
                    </w:rPr>
                    <w:t>个</w:t>
                  </w:r>
                </w:p>
              </w:tc>
              <w:tc>
                <w:tcPr>
                  <w:tcW w:w="1170" w:type="dxa"/>
                  <w:noWrap w:val="0"/>
                  <w:vAlign w:val="top"/>
                </w:tcPr>
                <w:p w14:paraId="762E9D07">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危险废物</w:t>
                  </w:r>
                </w:p>
              </w:tc>
              <w:tc>
                <w:tcPr>
                  <w:tcW w:w="1363" w:type="dxa"/>
                  <w:noWrap w:val="0"/>
                  <w:vAlign w:val="top"/>
                </w:tcPr>
                <w:p w14:paraId="36CFC64F">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900-041-49</w:t>
                  </w:r>
                </w:p>
              </w:tc>
            </w:tr>
            <w:tr w14:paraId="43BCB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noWrap w:val="0"/>
                  <w:vAlign w:val="top"/>
                </w:tcPr>
                <w:p w14:paraId="0235E3C7">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2</w:t>
                  </w:r>
                </w:p>
              </w:tc>
              <w:tc>
                <w:tcPr>
                  <w:tcW w:w="1530" w:type="dxa"/>
                  <w:shd w:val="clear" w:color="auto" w:fill="auto"/>
                  <w:noWrap w:val="0"/>
                  <w:vAlign w:val="center"/>
                </w:tcPr>
                <w:p w14:paraId="5695135E">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sz w:val="21"/>
                      <w:szCs w:val="21"/>
                      <w:highlight w:val="none"/>
                      <w:vertAlign w:val="baseline"/>
                      <w:lang w:val="en-US" w:eastAsia="zh-CN"/>
                    </w:rPr>
                    <w:t>水性光油废桶</w:t>
                  </w:r>
                </w:p>
              </w:tc>
              <w:tc>
                <w:tcPr>
                  <w:tcW w:w="900" w:type="dxa"/>
                  <w:shd w:val="clear" w:color="auto" w:fill="auto"/>
                  <w:noWrap w:val="0"/>
                  <w:vAlign w:val="center"/>
                </w:tcPr>
                <w:p w14:paraId="2D562040">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0.016</w:t>
                  </w:r>
                  <w:r>
                    <w:rPr>
                      <w:rFonts w:hint="default" w:ascii="Times New Roman" w:hAnsi="Times New Roman" w:eastAsia="宋体" w:cs="Times New Roman"/>
                      <w:i w:val="0"/>
                      <w:iCs w:val="0"/>
                      <w:color w:val="auto"/>
                      <w:kern w:val="0"/>
                      <w:sz w:val="21"/>
                      <w:szCs w:val="21"/>
                      <w:u w:val="none"/>
                      <w:lang w:val="en-US" w:eastAsia="zh-CN" w:bidi="ar"/>
                    </w:rPr>
                    <w:t>t/a</w:t>
                  </w:r>
                </w:p>
              </w:tc>
              <w:tc>
                <w:tcPr>
                  <w:tcW w:w="1110" w:type="dxa"/>
                  <w:shd w:val="clear" w:color="auto" w:fill="auto"/>
                  <w:noWrap w:val="0"/>
                  <w:vAlign w:val="center"/>
                </w:tcPr>
                <w:p w14:paraId="432877D8">
                  <w:pPr>
                    <w:pStyle w:val="80"/>
                    <w:keepNext w:val="0"/>
                    <w:keepLines w:val="0"/>
                    <w:pageBreakBefore w:val="0"/>
                    <w:widowControl w:val="0"/>
                    <w:suppressLineNumbers w:val="0"/>
                    <w:kinsoku/>
                    <w:wordWrap/>
                    <w:overflowPunct/>
                    <w:topLinePunct w:val="0"/>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kern w:val="2"/>
                      <w:sz w:val="21"/>
                      <w:szCs w:val="21"/>
                      <w:highlight w:val="none"/>
                      <w:vertAlign w:val="baseline"/>
                      <w:lang w:val="en-US" w:eastAsia="zh-CN" w:bidi="ar-SA"/>
                    </w:rPr>
                    <w:t>50kg/桶</w:t>
                  </w:r>
                </w:p>
              </w:tc>
              <w:tc>
                <w:tcPr>
                  <w:tcW w:w="1095" w:type="dxa"/>
                  <w:shd w:val="clear" w:color="auto" w:fill="auto"/>
                  <w:noWrap w:val="0"/>
                  <w:vAlign w:val="center"/>
                </w:tcPr>
                <w:p w14:paraId="3092A91B">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8</w:t>
                  </w:r>
                  <w:r>
                    <w:rPr>
                      <w:rFonts w:hint="eastAsia" w:ascii="Times New Roman" w:hAnsi="Times New Roman" w:eastAsia="宋体" w:cs="Times New Roman"/>
                      <w:b w:val="0"/>
                      <w:bCs w:val="0"/>
                      <w:color w:val="auto"/>
                      <w:kern w:val="2"/>
                      <w:sz w:val="21"/>
                      <w:szCs w:val="21"/>
                      <w:highlight w:val="none"/>
                      <w:vertAlign w:val="baseline"/>
                      <w:lang w:val="en-US" w:eastAsia="zh-CN" w:bidi="ar-SA"/>
                    </w:rPr>
                    <w:t>个</w:t>
                  </w:r>
                </w:p>
              </w:tc>
              <w:tc>
                <w:tcPr>
                  <w:tcW w:w="1170" w:type="dxa"/>
                  <w:shd w:val="clear" w:color="auto" w:fill="auto"/>
                  <w:noWrap w:val="0"/>
                  <w:vAlign w:val="center"/>
                </w:tcPr>
                <w:p w14:paraId="14F672E8">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sz w:val="21"/>
                      <w:szCs w:val="21"/>
                      <w:highlight w:val="none"/>
                      <w:vertAlign w:val="baseline"/>
                      <w:lang w:val="en-US" w:eastAsia="zh-CN"/>
                    </w:rPr>
                    <w:t>危险废物</w:t>
                  </w:r>
                </w:p>
              </w:tc>
              <w:tc>
                <w:tcPr>
                  <w:tcW w:w="1363" w:type="dxa"/>
                  <w:shd w:val="clear" w:color="auto" w:fill="auto"/>
                  <w:noWrap w:val="0"/>
                  <w:vAlign w:val="center"/>
                </w:tcPr>
                <w:p w14:paraId="745CD275">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sz w:val="21"/>
                      <w:szCs w:val="21"/>
                      <w:highlight w:val="none"/>
                      <w:vertAlign w:val="baseline"/>
                      <w:lang w:val="en-US" w:eastAsia="zh-CN"/>
                    </w:rPr>
                    <w:t>900-041-49</w:t>
                  </w:r>
                </w:p>
              </w:tc>
            </w:tr>
            <w:tr w14:paraId="23215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noWrap w:val="0"/>
                  <w:vAlign w:val="top"/>
                </w:tcPr>
                <w:p w14:paraId="15A3451E">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3</w:t>
                  </w:r>
                </w:p>
              </w:tc>
              <w:tc>
                <w:tcPr>
                  <w:tcW w:w="1530" w:type="dxa"/>
                  <w:shd w:val="clear" w:color="auto" w:fill="auto"/>
                  <w:noWrap w:val="0"/>
                  <w:vAlign w:val="center"/>
                </w:tcPr>
                <w:p w14:paraId="64BE3A08">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sz w:val="21"/>
                      <w:szCs w:val="21"/>
                      <w:highlight w:val="none"/>
                      <w:vertAlign w:val="baseline"/>
                      <w:lang w:val="en-US" w:eastAsia="zh-CN"/>
                    </w:rPr>
                    <w:t>废胶水桶</w:t>
                  </w:r>
                </w:p>
              </w:tc>
              <w:tc>
                <w:tcPr>
                  <w:tcW w:w="900" w:type="dxa"/>
                  <w:shd w:val="clear" w:color="auto" w:fill="auto"/>
                  <w:noWrap w:val="0"/>
                  <w:vAlign w:val="center"/>
                </w:tcPr>
                <w:p w14:paraId="54566892">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0.012t/a</w:t>
                  </w:r>
                </w:p>
              </w:tc>
              <w:tc>
                <w:tcPr>
                  <w:tcW w:w="1110" w:type="dxa"/>
                  <w:shd w:val="clear" w:color="auto" w:fill="auto"/>
                  <w:noWrap w:val="0"/>
                  <w:vAlign w:val="center"/>
                </w:tcPr>
                <w:p w14:paraId="119D6C7D">
                  <w:pPr>
                    <w:pStyle w:val="80"/>
                    <w:keepNext w:val="0"/>
                    <w:keepLines w:val="0"/>
                    <w:pageBreakBefore w:val="0"/>
                    <w:widowControl w:val="0"/>
                    <w:suppressLineNumbers w:val="0"/>
                    <w:kinsoku/>
                    <w:wordWrap/>
                    <w:overflowPunct/>
                    <w:topLinePunct w:val="0"/>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kern w:val="2"/>
                      <w:sz w:val="21"/>
                      <w:szCs w:val="21"/>
                      <w:highlight w:val="none"/>
                      <w:vertAlign w:val="baseline"/>
                      <w:lang w:val="en-US" w:eastAsia="zh-CN" w:bidi="ar-SA"/>
                    </w:rPr>
                    <w:t>25kg/桶</w:t>
                  </w:r>
                </w:p>
              </w:tc>
              <w:tc>
                <w:tcPr>
                  <w:tcW w:w="1095" w:type="dxa"/>
                  <w:shd w:val="clear" w:color="auto" w:fill="auto"/>
                  <w:noWrap w:val="0"/>
                  <w:vAlign w:val="center"/>
                </w:tcPr>
                <w:p w14:paraId="75F0F992">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12</w:t>
                  </w:r>
                  <w:r>
                    <w:rPr>
                      <w:rFonts w:hint="eastAsia" w:ascii="Times New Roman" w:hAnsi="Times New Roman" w:eastAsia="宋体" w:cs="Times New Roman"/>
                      <w:b w:val="0"/>
                      <w:bCs w:val="0"/>
                      <w:color w:val="auto"/>
                      <w:kern w:val="2"/>
                      <w:sz w:val="21"/>
                      <w:szCs w:val="21"/>
                      <w:highlight w:val="none"/>
                      <w:vertAlign w:val="baseline"/>
                      <w:lang w:val="en-US" w:eastAsia="zh-CN" w:bidi="ar-SA"/>
                    </w:rPr>
                    <w:t>个</w:t>
                  </w:r>
                </w:p>
              </w:tc>
              <w:tc>
                <w:tcPr>
                  <w:tcW w:w="1170" w:type="dxa"/>
                  <w:shd w:val="clear" w:color="auto" w:fill="auto"/>
                  <w:noWrap w:val="0"/>
                  <w:vAlign w:val="center"/>
                </w:tcPr>
                <w:p w14:paraId="76A9BA3E">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auto"/>
                      <w:kern w:val="2"/>
                      <w:sz w:val="21"/>
                      <w:szCs w:val="21"/>
                      <w:highlight w:val="none"/>
                      <w:vertAlign w:val="superscript"/>
                      <w:lang w:val="en-US" w:eastAsia="zh-CN" w:bidi="ar-SA"/>
                    </w:rPr>
                  </w:pPr>
                  <w:r>
                    <w:rPr>
                      <w:rFonts w:hint="eastAsia" w:ascii="Times New Roman" w:hAnsi="Times New Roman" w:eastAsia="宋体" w:cs="Times New Roman"/>
                      <w:b w:val="0"/>
                      <w:bCs w:val="0"/>
                      <w:color w:val="auto"/>
                      <w:sz w:val="21"/>
                      <w:szCs w:val="21"/>
                      <w:highlight w:val="none"/>
                      <w:vertAlign w:val="baseline"/>
                      <w:lang w:val="en-US" w:eastAsia="zh-CN"/>
                    </w:rPr>
                    <w:t>一般工业固废</w:t>
                  </w:r>
                </w:p>
              </w:tc>
              <w:tc>
                <w:tcPr>
                  <w:tcW w:w="1363" w:type="dxa"/>
                  <w:shd w:val="clear" w:color="auto" w:fill="auto"/>
                  <w:noWrap w:val="0"/>
                  <w:vAlign w:val="center"/>
                </w:tcPr>
                <w:p w14:paraId="25BB7E84">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sz w:val="21"/>
                      <w:szCs w:val="21"/>
                      <w:highlight w:val="none"/>
                      <w:vertAlign w:val="baseline"/>
                      <w:lang w:val="en-US" w:eastAsia="zh-CN"/>
                    </w:rPr>
                    <w:t>900-099-S15</w:t>
                  </w:r>
                </w:p>
              </w:tc>
            </w:tr>
            <w:tr w14:paraId="3C68E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noWrap w:val="0"/>
                  <w:vAlign w:val="top"/>
                </w:tcPr>
                <w:p w14:paraId="20090CDB">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4</w:t>
                  </w:r>
                </w:p>
              </w:tc>
              <w:tc>
                <w:tcPr>
                  <w:tcW w:w="1530" w:type="dxa"/>
                  <w:shd w:val="clear" w:color="auto" w:fill="auto"/>
                  <w:noWrap w:val="0"/>
                  <w:vAlign w:val="center"/>
                </w:tcPr>
                <w:p w14:paraId="0C1DDE5B">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sz w:val="21"/>
                      <w:szCs w:val="21"/>
                      <w:highlight w:val="none"/>
                      <w:vertAlign w:val="baseline"/>
                      <w:lang w:val="en-US" w:eastAsia="zh-CN"/>
                    </w:rPr>
                    <w:t>淀粉胶废桶</w:t>
                  </w:r>
                </w:p>
              </w:tc>
              <w:tc>
                <w:tcPr>
                  <w:tcW w:w="900" w:type="dxa"/>
                  <w:shd w:val="clear" w:color="auto" w:fill="auto"/>
                  <w:noWrap w:val="0"/>
                  <w:vAlign w:val="center"/>
                </w:tcPr>
                <w:p w14:paraId="278221A1">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0.16t/a</w:t>
                  </w:r>
                </w:p>
              </w:tc>
              <w:tc>
                <w:tcPr>
                  <w:tcW w:w="1110" w:type="dxa"/>
                  <w:shd w:val="clear" w:color="auto" w:fill="auto"/>
                  <w:noWrap w:val="0"/>
                  <w:vAlign w:val="center"/>
                </w:tcPr>
                <w:p w14:paraId="40883C40">
                  <w:pPr>
                    <w:pStyle w:val="80"/>
                    <w:keepNext w:val="0"/>
                    <w:keepLines w:val="0"/>
                    <w:pageBreakBefore w:val="0"/>
                    <w:widowControl w:val="0"/>
                    <w:suppressLineNumbers w:val="0"/>
                    <w:kinsoku/>
                    <w:wordWrap/>
                    <w:overflowPunct/>
                    <w:topLinePunct w:val="0"/>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kern w:val="2"/>
                      <w:sz w:val="21"/>
                      <w:szCs w:val="21"/>
                      <w:highlight w:val="none"/>
                      <w:vertAlign w:val="baseline"/>
                      <w:lang w:val="en-US" w:eastAsia="zh-CN" w:bidi="ar-SA"/>
                    </w:rPr>
                    <w:t>50kg/桶</w:t>
                  </w:r>
                </w:p>
              </w:tc>
              <w:tc>
                <w:tcPr>
                  <w:tcW w:w="1095" w:type="dxa"/>
                  <w:shd w:val="clear" w:color="auto" w:fill="auto"/>
                  <w:noWrap w:val="0"/>
                  <w:vAlign w:val="center"/>
                </w:tcPr>
                <w:p w14:paraId="7003B5EE">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kern w:val="2"/>
                      <w:sz w:val="21"/>
                      <w:szCs w:val="21"/>
                      <w:highlight w:val="none"/>
                      <w:vertAlign w:val="baseline"/>
                      <w:lang w:val="en-US" w:eastAsia="zh-CN" w:bidi="ar-SA"/>
                    </w:rPr>
                    <w:t>40个</w:t>
                  </w:r>
                </w:p>
              </w:tc>
              <w:tc>
                <w:tcPr>
                  <w:tcW w:w="1170" w:type="dxa"/>
                  <w:shd w:val="clear" w:color="auto" w:fill="auto"/>
                  <w:noWrap w:val="0"/>
                  <w:vAlign w:val="center"/>
                </w:tcPr>
                <w:p w14:paraId="121CA9E6">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sz w:val="21"/>
                      <w:szCs w:val="21"/>
                      <w:highlight w:val="none"/>
                      <w:vertAlign w:val="baseline"/>
                      <w:lang w:val="en-US" w:eastAsia="zh-CN"/>
                    </w:rPr>
                    <w:t>一般工业固废</w:t>
                  </w:r>
                </w:p>
              </w:tc>
              <w:tc>
                <w:tcPr>
                  <w:tcW w:w="1363" w:type="dxa"/>
                  <w:shd w:val="clear" w:color="auto" w:fill="auto"/>
                  <w:noWrap w:val="0"/>
                  <w:vAlign w:val="center"/>
                </w:tcPr>
                <w:p w14:paraId="62A6D552">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sz w:val="21"/>
                      <w:szCs w:val="21"/>
                      <w:highlight w:val="none"/>
                      <w:vertAlign w:val="baseline"/>
                      <w:lang w:val="en-US" w:eastAsia="zh-CN"/>
                    </w:rPr>
                    <w:t>900-099-S15</w:t>
                  </w:r>
                </w:p>
              </w:tc>
            </w:tr>
            <w:tr w14:paraId="7588D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noWrap w:val="0"/>
                  <w:vAlign w:val="top"/>
                </w:tcPr>
                <w:p w14:paraId="73DB4D1C">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5</w:t>
                  </w:r>
                </w:p>
              </w:tc>
              <w:tc>
                <w:tcPr>
                  <w:tcW w:w="1530" w:type="dxa"/>
                  <w:shd w:val="clear" w:color="auto" w:fill="auto"/>
                  <w:noWrap w:val="0"/>
                  <w:vAlign w:val="center"/>
                </w:tcPr>
                <w:p w14:paraId="1095CCC9">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sz w:val="21"/>
                      <w:szCs w:val="21"/>
                      <w:highlight w:val="none"/>
                      <w:vertAlign w:val="baseline"/>
                      <w:lang w:val="en-US" w:eastAsia="zh-CN"/>
                    </w:rPr>
                    <w:t>废PS版</w:t>
                  </w:r>
                </w:p>
              </w:tc>
              <w:tc>
                <w:tcPr>
                  <w:tcW w:w="900" w:type="dxa"/>
                  <w:shd w:val="clear" w:color="auto" w:fill="auto"/>
                  <w:noWrap w:val="0"/>
                  <w:vAlign w:val="center"/>
                </w:tcPr>
                <w:p w14:paraId="55899744">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0.02t/a</w:t>
                  </w:r>
                </w:p>
              </w:tc>
              <w:tc>
                <w:tcPr>
                  <w:tcW w:w="1110" w:type="dxa"/>
                  <w:shd w:val="clear" w:color="auto" w:fill="auto"/>
                  <w:noWrap w:val="0"/>
                  <w:vAlign w:val="center"/>
                </w:tcPr>
                <w:p w14:paraId="723BCB3A">
                  <w:pPr>
                    <w:pStyle w:val="80"/>
                    <w:keepNext w:val="0"/>
                    <w:keepLines w:val="0"/>
                    <w:pageBreakBefore w:val="0"/>
                    <w:widowControl w:val="0"/>
                    <w:suppressLineNumbers w:val="0"/>
                    <w:kinsoku/>
                    <w:wordWrap/>
                    <w:overflowPunct/>
                    <w:topLinePunct w:val="0"/>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kern w:val="2"/>
                      <w:sz w:val="21"/>
                      <w:szCs w:val="21"/>
                      <w:highlight w:val="none"/>
                      <w:vertAlign w:val="baseline"/>
                      <w:lang w:val="en-US" w:eastAsia="zh-CN" w:bidi="ar-SA"/>
                    </w:rPr>
                    <w:t>25kg/盒</w:t>
                  </w:r>
                </w:p>
              </w:tc>
              <w:tc>
                <w:tcPr>
                  <w:tcW w:w="1095" w:type="dxa"/>
                  <w:shd w:val="clear" w:color="auto" w:fill="auto"/>
                  <w:noWrap w:val="0"/>
                  <w:vAlign w:val="center"/>
                </w:tcPr>
                <w:p w14:paraId="75291A53">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kern w:val="2"/>
                      <w:sz w:val="21"/>
                      <w:szCs w:val="21"/>
                      <w:highlight w:val="none"/>
                      <w:vertAlign w:val="baseline"/>
                      <w:lang w:val="en-US" w:eastAsia="zh-CN" w:bidi="ar-SA"/>
                    </w:rPr>
                    <w:t>40盒</w:t>
                  </w:r>
                </w:p>
              </w:tc>
              <w:tc>
                <w:tcPr>
                  <w:tcW w:w="1170" w:type="dxa"/>
                  <w:shd w:val="clear" w:color="auto" w:fill="auto"/>
                  <w:noWrap w:val="0"/>
                  <w:vAlign w:val="center"/>
                </w:tcPr>
                <w:p w14:paraId="1DD665DB">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sz w:val="21"/>
                      <w:szCs w:val="21"/>
                      <w:highlight w:val="none"/>
                      <w:vertAlign w:val="baseline"/>
                      <w:lang w:val="en-US" w:eastAsia="zh-CN"/>
                    </w:rPr>
                    <w:t>一般工业固废</w:t>
                  </w:r>
                </w:p>
              </w:tc>
              <w:tc>
                <w:tcPr>
                  <w:tcW w:w="1363" w:type="dxa"/>
                  <w:shd w:val="clear" w:color="auto" w:fill="auto"/>
                  <w:noWrap w:val="0"/>
                  <w:vAlign w:val="center"/>
                </w:tcPr>
                <w:p w14:paraId="33D1539F">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sz w:val="21"/>
                      <w:szCs w:val="21"/>
                      <w:highlight w:val="none"/>
                      <w:vertAlign w:val="baseline"/>
                      <w:lang w:val="en-US" w:eastAsia="zh-CN"/>
                    </w:rPr>
                    <w:t>900-099-S15</w:t>
                  </w:r>
                </w:p>
              </w:tc>
            </w:tr>
            <w:tr w14:paraId="0F020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noWrap w:val="0"/>
                  <w:vAlign w:val="top"/>
                </w:tcPr>
                <w:p w14:paraId="3F291C20">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6</w:t>
                  </w:r>
                </w:p>
              </w:tc>
              <w:tc>
                <w:tcPr>
                  <w:tcW w:w="1530" w:type="dxa"/>
                  <w:shd w:val="clear" w:color="auto" w:fill="auto"/>
                  <w:noWrap w:val="0"/>
                  <w:vAlign w:val="center"/>
                </w:tcPr>
                <w:p w14:paraId="6360231C">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天那水废桶</w:t>
                  </w:r>
                </w:p>
              </w:tc>
              <w:tc>
                <w:tcPr>
                  <w:tcW w:w="900" w:type="dxa"/>
                  <w:shd w:val="clear" w:color="auto" w:fill="auto"/>
                  <w:noWrap w:val="0"/>
                  <w:vAlign w:val="center"/>
                </w:tcPr>
                <w:p w14:paraId="6C178E7F">
                  <w:pPr>
                    <w:keepNext w:val="0"/>
                    <w:keepLines w:val="0"/>
                    <w:widowControl/>
                    <w:suppressLineNumbers w:val="0"/>
                    <w:jc w:val="center"/>
                    <w:textAlignment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0.01t/a</w:t>
                  </w:r>
                </w:p>
              </w:tc>
              <w:tc>
                <w:tcPr>
                  <w:tcW w:w="1110" w:type="dxa"/>
                  <w:shd w:val="clear" w:color="auto" w:fill="auto"/>
                  <w:noWrap w:val="0"/>
                  <w:vAlign w:val="center"/>
                </w:tcPr>
                <w:p w14:paraId="00C6DFE2">
                  <w:pPr>
                    <w:pStyle w:val="80"/>
                    <w:keepNext w:val="0"/>
                    <w:keepLines w:val="0"/>
                    <w:pageBreakBefore w:val="0"/>
                    <w:widowControl w:val="0"/>
                    <w:suppressLineNumbers w:val="0"/>
                    <w:kinsoku/>
                    <w:wordWrap/>
                    <w:overflowPunct/>
                    <w:topLinePunct w:val="0"/>
                    <w:bidi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cs="Times New Roman"/>
                      <w:b w:val="0"/>
                      <w:bCs w:val="0"/>
                      <w:color w:val="auto"/>
                      <w:kern w:val="2"/>
                      <w:sz w:val="21"/>
                      <w:szCs w:val="21"/>
                      <w:highlight w:val="none"/>
                      <w:vertAlign w:val="baseline"/>
                      <w:lang w:val="en-US" w:eastAsia="zh-CN" w:bidi="ar-SA"/>
                    </w:rPr>
                    <w:t>20</w:t>
                  </w:r>
                  <w:r>
                    <w:rPr>
                      <w:rFonts w:hint="eastAsia" w:ascii="Times New Roman" w:hAnsi="Times New Roman" w:eastAsia="宋体" w:cs="Times New Roman"/>
                      <w:b w:val="0"/>
                      <w:bCs w:val="0"/>
                      <w:color w:val="auto"/>
                      <w:kern w:val="2"/>
                      <w:sz w:val="21"/>
                      <w:szCs w:val="21"/>
                      <w:highlight w:val="none"/>
                      <w:vertAlign w:val="baseline"/>
                      <w:lang w:val="en-US" w:eastAsia="zh-CN" w:bidi="ar-SA"/>
                    </w:rPr>
                    <w:t>kg/瓶</w:t>
                  </w:r>
                </w:p>
              </w:tc>
              <w:tc>
                <w:tcPr>
                  <w:tcW w:w="1095" w:type="dxa"/>
                  <w:shd w:val="clear" w:color="auto" w:fill="auto"/>
                  <w:noWrap w:val="0"/>
                  <w:vAlign w:val="center"/>
                </w:tcPr>
                <w:p w14:paraId="26C72DCA">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leftChars="0" w:right="0" w:rightChars="0"/>
                    <w:jc w:val="center"/>
                    <w:rPr>
                      <w:rFonts w:hint="eastAsia"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10</w:t>
                  </w:r>
                  <w:r>
                    <w:rPr>
                      <w:rFonts w:hint="eastAsia" w:ascii="Times New Roman" w:hAnsi="Times New Roman" w:eastAsia="宋体" w:cs="Times New Roman"/>
                      <w:b w:val="0"/>
                      <w:bCs w:val="0"/>
                      <w:color w:val="auto"/>
                      <w:kern w:val="2"/>
                      <w:sz w:val="21"/>
                      <w:szCs w:val="21"/>
                      <w:highlight w:val="none"/>
                      <w:vertAlign w:val="baseline"/>
                      <w:lang w:val="en-US" w:eastAsia="zh-CN" w:bidi="ar-SA"/>
                    </w:rPr>
                    <w:t>个</w:t>
                  </w:r>
                </w:p>
              </w:tc>
              <w:tc>
                <w:tcPr>
                  <w:tcW w:w="1170" w:type="dxa"/>
                  <w:shd w:val="clear" w:color="auto" w:fill="auto"/>
                  <w:noWrap w:val="0"/>
                  <w:vAlign w:val="center"/>
                </w:tcPr>
                <w:p w14:paraId="2121A232">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leftChars="0" w:right="0" w:rightChars="0"/>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危险废物</w:t>
                  </w:r>
                </w:p>
              </w:tc>
              <w:tc>
                <w:tcPr>
                  <w:tcW w:w="1363" w:type="dxa"/>
                  <w:shd w:val="clear" w:color="auto" w:fill="auto"/>
                  <w:noWrap w:val="0"/>
                  <w:vAlign w:val="center"/>
                </w:tcPr>
                <w:p w14:paraId="4295F98B">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leftChars="0" w:right="0" w:rightChars="0"/>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900-047-49</w:t>
                  </w:r>
                </w:p>
              </w:tc>
            </w:tr>
            <w:tr w14:paraId="442BC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noWrap w:val="0"/>
                  <w:vAlign w:val="top"/>
                </w:tcPr>
                <w:p w14:paraId="5DFBEB98">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7</w:t>
                  </w:r>
                </w:p>
              </w:tc>
              <w:tc>
                <w:tcPr>
                  <w:tcW w:w="1530" w:type="dxa"/>
                  <w:shd w:val="clear" w:color="auto" w:fill="auto"/>
                  <w:noWrap w:val="0"/>
                  <w:vAlign w:val="center"/>
                </w:tcPr>
                <w:p w14:paraId="2A61FD80">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sz w:val="21"/>
                      <w:szCs w:val="21"/>
                      <w:highlight w:val="none"/>
                      <w:vertAlign w:val="baseline"/>
                      <w:lang w:val="en-US" w:eastAsia="zh-CN"/>
                    </w:rPr>
                    <w:t>清洗剂废桶</w:t>
                  </w:r>
                </w:p>
              </w:tc>
              <w:tc>
                <w:tcPr>
                  <w:tcW w:w="900" w:type="dxa"/>
                  <w:shd w:val="clear" w:color="auto" w:fill="auto"/>
                  <w:noWrap w:val="0"/>
                  <w:vAlign w:val="center"/>
                </w:tcPr>
                <w:p w14:paraId="48D840C1">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0.005t/a</w:t>
                  </w:r>
                </w:p>
              </w:tc>
              <w:tc>
                <w:tcPr>
                  <w:tcW w:w="1110" w:type="dxa"/>
                  <w:shd w:val="clear" w:color="auto" w:fill="auto"/>
                  <w:noWrap w:val="0"/>
                  <w:vAlign w:val="center"/>
                </w:tcPr>
                <w:p w14:paraId="17E1843E">
                  <w:pPr>
                    <w:pStyle w:val="80"/>
                    <w:keepNext w:val="0"/>
                    <w:keepLines w:val="0"/>
                    <w:pageBreakBefore w:val="0"/>
                    <w:widowControl w:val="0"/>
                    <w:suppressLineNumbers w:val="0"/>
                    <w:kinsoku/>
                    <w:wordWrap/>
                    <w:overflowPunct/>
                    <w:topLinePunct w:val="0"/>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kern w:val="2"/>
                      <w:sz w:val="21"/>
                      <w:szCs w:val="21"/>
                      <w:highlight w:val="none"/>
                      <w:vertAlign w:val="baseline"/>
                      <w:lang w:val="en-US" w:eastAsia="zh-CN" w:bidi="ar-SA"/>
                    </w:rPr>
                    <w:t>10kg/桶</w:t>
                  </w:r>
                </w:p>
              </w:tc>
              <w:tc>
                <w:tcPr>
                  <w:tcW w:w="1095" w:type="dxa"/>
                  <w:shd w:val="clear" w:color="auto" w:fill="auto"/>
                  <w:noWrap w:val="0"/>
                  <w:vAlign w:val="center"/>
                </w:tcPr>
                <w:p w14:paraId="43CDC089">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kern w:val="2"/>
                      <w:sz w:val="21"/>
                      <w:szCs w:val="21"/>
                      <w:highlight w:val="none"/>
                      <w:vertAlign w:val="baseline"/>
                      <w:lang w:val="en-US" w:eastAsia="zh-CN" w:bidi="ar-SA"/>
                    </w:rPr>
                    <w:t>10个</w:t>
                  </w:r>
                </w:p>
              </w:tc>
              <w:tc>
                <w:tcPr>
                  <w:tcW w:w="1170" w:type="dxa"/>
                  <w:shd w:val="clear" w:color="auto" w:fill="auto"/>
                  <w:noWrap w:val="0"/>
                  <w:vAlign w:val="center"/>
                </w:tcPr>
                <w:p w14:paraId="3B84EF60">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sz w:val="21"/>
                      <w:szCs w:val="21"/>
                      <w:highlight w:val="none"/>
                      <w:vertAlign w:val="baseline"/>
                      <w:lang w:val="en-US" w:eastAsia="zh-CN"/>
                    </w:rPr>
                    <w:t>危险废物</w:t>
                  </w:r>
                </w:p>
              </w:tc>
              <w:tc>
                <w:tcPr>
                  <w:tcW w:w="1363" w:type="dxa"/>
                  <w:shd w:val="clear" w:color="auto" w:fill="auto"/>
                  <w:noWrap w:val="0"/>
                  <w:vAlign w:val="center"/>
                </w:tcPr>
                <w:p w14:paraId="7445EFF7">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sz w:val="21"/>
                      <w:szCs w:val="21"/>
                      <w:highlight w:val="none"/>
                      <w:vertAlign w:val="baseline"/>
                      <w:lang w:val="en-US" w:eastAsia="zh-CN"/>
                    </w:rPr>
                    <w:t>900-047-49</w:t>
                  </w:r>
                </w:p>
              </w:tc>
            </w:tr>
            <w:tr w14:paraId="7100B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noWrap w:val="0"/>
                  <w:vAlign w:val="top"/>
                </w:tcPr>
                <w:p w14:paraId="2B588136">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8</w:t>
                  </w:r>
                </w:p>
              </w:tc>
              <w:tc>
                <w:tcPr>
                  <w:tcW w:w="1530" w:type="dxa"/>
                  <w:shd w:val="clear" w:color="auto" w:fill="auto"/>
                  <w:noWrap w:val="0"/>
                  <w:vAlign w:val="center"/>
                </w:tcPr>
                <w:p w14:paraId="2AA5D246">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sz w:val="21"/>
                      <w:szCs w:val="21"/>
                      <w:highlight w:val="none"/>
                      <w:vertAlign w:val="baseline"/>
                      <w:lang w:val="en-US" w:eastAsia="zh-CN"/>
                    </w:rPr>
                    <w:t>润版液废桶</w:t>
                  </w:r>
                </w:p>
              </w:tc>
              <w:tc>
                <w:tcPr>
                  <w:tcW w:w="900" w:type="dxa"/>
                  <w:shd w:val="clear" w:color="auto" w:fill="auto"/>
                  <w:noWrap w:val="0"/>
                  <w:vAlign w:val="center"/>
                </w:tcPr>
                <w:p w14:paraId="0930CE26">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0.005t/a</w:t>
                  </w:r>
                </w:p>
              </w:tc>
              <w:tc>
                <w:tcPr>
                  <w:tcW w:w="1110" w:type="dxa"/>
                  <w:shd w:val="clear" w:color="auto" w:fill="auto"/>
                  <w:noWrap w:val="0"/>
                  <w:vAlign w:val="center"/>
                </w:tcPr>
                <w:p w14:paraId="218A4B0F">
                  <w:pPr>
                    <w:pStyle w:val="80"/>
                    <w:keepNext w:val="0"/>
                    <w:keepLines w:val="0"/>
                    <w:pageBreakBefore w:val="0"/>
                    <w:widowControl w:val="0"/>
                    <w:suppressLineNumbers w:val="0"/>
                    <w:kinsoku/>
                    <w:wordWrap/>
                    <w:overflowPunct/>
                    <w:topLinePunct w:val="0"/>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kern w:val="2"/>
                      <w:sz w:val="21"/>
                      <w:szCs w:val="21"/>
                      <w:highlight w:val="none"/>
                      <w:vertAlign w:val="baseline"/>
                      <w:lang w:val="en-US" w:eastAsia="zh-CN" w:bidi="ar-SA"/>
                    </w:rPr>
                    <w:t>10kg/桶</w:t>
                  </w:r>
                </w:p>
              </w:tc>
              <w:tc>
                <w:tcPr>
                  <w:tcW w:w="1095" w:type="dxa"/>
                  <w:shd w:val="clear" w:color="auto" w:fill="auto"/>
                  <w:noWrap w:val="0"/>
                  <w:vAlign w:val="center"/>
                </w:tcPr>
                <w:p w14:paraId="43E8281F">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kern w:val="2"/>
                      <w:sz w:val="21"/>
                      <w:szCs w:val="21"/>
                      <w:highlight w:val="none"/>
                      <w:vertAlign w:val="baseline"/>
                      <w:lang w:val="en-US" w:eastAsia="zh-CN" w:bidi="ar-SA"/>
                    </w:rPr>
                    <w:t>10个</w:t>
                  </w:r>
                </w:p>
              </w:tc>
              <w:tc>
                <w:tcPr>
                  <w:tcW w:w="1170" w:type="dxa"/>
                  <w:shd w:val="clear" w:color="auto" w:fill="auto"/>
                  <w:noWrap w:val="0"/>
                  <w:vAlign w:val="center"/>
                </w:tcPr>
                <w:p w14:paraId="35098BF7">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sz w:val="21"/>
                      <w:szCs w:val="21"/>
                      <w:highlight w:val="none"/>
                      <w:vertAlign w:val="baseline"/>
                      <w:lang w:val="en-US" w:eastAsia="zh-CN"/>
                    </w:rPr>
                    <w:t>危险废物</w:t>
                  </w:r>
                </w:p>
              </w:tc>
              <w:tc>
                <w:tcPr>
                  <w:tcW w:w="1363" w:type="dxa"/>
                  <w:shd w:val="clear" w:color="auto" w:fill="auto"/>
                  <w:noWrap w:val="0"/>
                  <w:vAlign w:val="center"/>
                </w:tcPr>
                <w:p w14:paraId="52922B4C">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sz w:val="21"/>
                      <w:szCs w:val="21"/>
                      <w:highlight w:val="none"/>
                      <w:vertAlign w:val="baseline"/>
                      <w:lang w:val="en-US" w:eastAsia="zh-CN"/>
                    </w:rPr>
                    <w:t>900-047-49</w:t>
                  </w:r>
                </w:p>
              </w:tc>
            </w:tr>
            <w:tr w14:paraId="60B3F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5" w:type="dxa"/>
                  <w:gridSpan w:val="7"/>
                  <w:noWrap w:val="0"/>
                  <w:vAlign w:val="top"/>
                </w:tcPr>
                <w:p w14:paraId="1B8E0777">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备注</w:t>
                  </w:r>
                </w:p>
                <w:p w14:paraId="7F68BFE1">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识别依据：参照《危险废物名录》（2025年版）、《固体废物分类与代码目录》（2024年版；</w:t>
                  </w:r>
                </w:p>
                <w:p w14:paraId="383FC102">
                  <w:pPr>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①</w:t>
                  </w:r>
                  <w:r>
                    <w:rPr>
                      <w:rFonts w:hint="eastAsia" w:cs="Times New Roman"/>
                      <w:color w:val="auto"/>
                      <w:sz w:val="21"/>
                      <w:szCs w:val="21"/>
                      <w:highlight w:val="none"/>
                      <w:lang w:val="en-US" w:eastAsia="zh-CN"/>
                    </w:rPr>
                    <w:t>封口胶</w:t>
                  </w:r>
                  <w:r>
                    <w:rPr>
                      <w:rFonts w:hint="default" w:ascii="Times New Roman" w:hAnsi="Times New Roman" w:cs="Times New Roman"/>
                      <w:color w:val="auto"/>
                      <w:sz w:val="21"/>
                      <w:szCs w:val="21"/>
                      <w:highlight w:val="none"/>
                      <w:lang w:val="en-US" w:eastAsia="zh-CN"/>
                    </w:rPr>
                    <w:t>、淀粉胶：该物质为</w:t>
                  </w:r>
                  <w:r>
                    <w:rPr>
                      <w:rFonts w:hint="eastAsia" w:cs="Times New Roman"/>
                      <w:color w:val="auto"/>
                      <w:sz w:val="21"/>
                      <w:szCs w:val="21"/>
                      <w:highlight w:val="none"/>
                      <w:lang w:val="en-US" w:eastAsia="zh-CN"/>
                    </w:rPr>
                    <w:t>非溶剂型胶粘剂</w:t>
                  </w:r>
                  <w:r>
                    <w:rPr>
                      <w:rFonts w:hint="default" w:ascii="Times New Roman" w:hAnsi="Times New Roman" w:cs="Times New Roman"/>
                      <w:color w:val="auto"/>
                      <w:sz w:val="21"/>
                      <w:szCs w:val="21"/>
                      <w:highlight w:val="none"/>
                      <w:lang w:val="en-US" w:eastAsia="zh-CN"/>
                    </w:rPr>
                    <w:t>，根据《危险废物名录》HW13有机树脂类废物中，非特定行业，废弃的粘合剂和密封剂不包括水基型粘合剂，因此不属于危险废物。</w:t>
                  </w:r>
                </w:p>
                <w:p w14:paraId="037361B4">
                  <w:pPr>
                    <w:pStyle w:val="18"/>
                    <w:keepNext w:val="0"/>
                    <w:keepLines w:val="0"/>
                    <w:suppressLineNumbers w:val="0"/>
                    <w:spacing w:beforeAutospacing="0" w:afterAutospacing="0"/>
                    <w:ind w:left="0"/>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②</w:t>
                  </w:r>
                  <w:r>
                    <w:rPr>
                      <w:rFonts w:hint="eastAsia" w:cs="Times New Roman"/>
                      <w:b w:val="0"/>
                      <w:bCs w:val="0"/>
                      <w:color w:val="auto"/>
                      <w:sz w:val="21"/>
                      <w:szCs w:val="21"/>
                      <w:highlight w:val="none"/>
                      <w:lang w:val="en-US" w:eastAsia="zh-CN"/>
                    </w:rPr>
                    <w:t>根据企业提供的数据</w:t>
                  </w:r>
                  <w:r>
                    <w:rPr>
                      <w:rFonts w:hint="eastAsia" w:ascii="Times New Roman" w:hAnsi="Times New Roman" w:eastAsia="宋体" w:cs="Times New Roman"/>
                      <w:b w:val="0"/>
                      <w:bCs w:val="0"/>
                      <w:color w:val="auto"/>
                      <w:sz w:val="21"/>
                      <w:szCs w:val="21"/>
                      <w:highlight w:val="none"/>
                      <w:lang w:val="en-US" w:eastAsia="zh-CN"/>
                    </w:rPr>
                    <w:t>，包装规格</w:t>
                  </w:r>
                  <w:r>
                    <w:rPr>
                      <w:rFonts w:hint="eastAsia" w:cs="Times New Roman"/>
                      <w:b w:val="0"/>
                      <w:bCs w:val="0"/>
                      <w:color w:val="auto"/>
                      <w:sz w:val="21"/>
                      <w:szCs w:val="21"/>
                      <w:highlight w:val="none"/>
                      <w:lang w:val="en-US" w:eastAsia="zh-CN"/>
                    </w:rPr>
                    <w:t>50</w:t>
                  </w:r>
                  <w:r>
                    <w:rPr>
                      <w:rFonts w:hint="eastAsia" w:ascii="Times New Roman" w:hAnsi="Times New Roman" w:eastAsia="宋体" w:cs="Times New Roman"/>
                      <w:b w:val="0"/>
                      <w:bCs w:val="0"/>
                      <w:color w:val="auto"/>
                      <w:sz w:val="21"/>
                      <w:szCs w:val="21"/>
                      <w:highlight w:val="none"/>
                      <w:lang w:val="en-US" w:eastAsia="zh-CN"/>
                    </w:rPr>
                    <w:t>kg/</w:t>
                  </w:r>
                  <w:r>
                    <w:rPr>
                      <w:rFonts w:hint="eastAsia" w:cs="Times New Roman"/>
                      <w:b w:val="0"/>
                      <w:bCs w:val="0"/>
                      <w:color w:val="auto"/>
                      <w:sz w:val="21"/>
                      <w:szCs w:val="21"/>
                      <w:highlight w:val="none"/>
                      <w:lang w:val="en-US" w:eastAsia="zh-CN"/>
                    </w:rPr>
                    <w:t>桶的</w:t>
                  </w:r>
                  <w:r>
                    <w:rPr>
                      <w:rFonts w:hint="eastAsia" w:ascii="Times New Roman" w:hAnsi="Times New Roman" w:eastAsia="宋体" w:cs="Times New Roman"/>
                      <w:b w:val="0"/>
                      <w:bCs w:val="0"/>
                      <w:color w:val="auto"/>
                      <w:sz w:val="21"/>
                      <w:szCs w:val="21"/>
                      <w:highlight w:val="none"/>
                      <w:lang w:val="en-US" w:eastAsia="zh-CN"/>
                    </w:rPr>
                    <w:t>淀粉胶</w:t>
                  </w:r>
                  <w:r>
                    <w:rPr>
                      <w:rFonts w:hint="eastAsia" w:cs="Times New Roman"/>
                      <w:b w:val="0"/>
                      <w:bCs w:val="0"/>
                      <w:color w:val="auto"/>
                      <w:sz w:val="21"/>
                      <w:szCs w:val="21"/>
                      <w:highlight w:val="none"/>
                      <w:lang w:val="en-US" w:eastAsia="zh-CN"/>
                    </w:rPr>
                    <w:t>，</w:t>
                  </w:r>
                  <w:r>
                    <w:rPr>
                      <w:rFonts w:hint="eastAsia" w:ascii="Times New Roman" w:hAnsi="Times New Roman" w:eastAsia="宋体" w:cs="Times New Roman"/>
                      <w:b w:val="0"/>
                      <w:bCs w:val="0"/>
                      <w:color w:val="auto"/>
                      <w:sz w:val="21"/>
                      <w:szCs w:val="21"/>
                      <w:highlight w:val="none"/>
                      <w:lang w:val="en-US" w:eastAsia="zh-CN"/>
                    </w:rPr>
                    <w:t>塑料包装物重量约</w:t>
                  </w:r>
                  <w:r>
                    <w:rPr>
                      <w:rFonts w:hint="eastAsia" w:cs="Times New Roman"/>
                      <w:b w:val="0"/>
                      <w:bCs w:val="0"/>
                      <w:color w:val="auto"/>
                      <w:sz w:val="21"/>
                      <w:szCs w:val="21"/>
                      <w:highlight w:val="none"/>
                      <w:lang w:val="en-US" w:eastAsia="zh-CN"/>
                    </w:rPr>
                    <w:t>2</w:t>
                  </w:r>
                  <w:r>
                    <w:rPr>
                      <w:rFonts w:hint="eastAsia" w:ascii="Times New Roman" w:hAnsi="Times New Roman" w:eastAsia="宋体" w:cs="Times New Roman"/>
                      <w:b w:val="0"/>
                      <w:bCs w:val="0"/>
                      <w:color w:val="auto"/>
                      <w:sz w:val="21"/>
                      <w:szCs w:val="21"/>
                      <w:highlight w:val="none"/>
                      <w:lang w:val="en-US" w:eastAsia="zh-CN"/>
                    </w:rPr>
                    <w:t>kg</w:t>
                  </w:r>
                  <w:r>
                    <w:rPr>
                      <w:rFonts w:hint="eastAsia" w:cs="Times New Roman"/>
                      <w:b w:val="0"/>
                      <w:bCs w:val="0"/>
                      <w:color w:val="auto"/>
                      <w:sz w:val="21"/>
                      <w:szCs w:val="21"/>
                      <w:highlight w:val="none"/>
                      <w:lang w:val="en-US" w:eastAsia="zh-CN"/>
                    </w:rPr>
                    <w:t>；</w:t>
                  </w:r>
                  <w:r>
                    <w:rPr>
                      <w:rFonts w:hint="eastAsia" w:ascii="Times New Roman" w:hAnsi="Times New Roman" w:eastAsia="宋体" w:cs="Times New Roman"/>
                      <w:b w:val="0"/>
                      <w:bCs w:val="0"/>
                      <w:color w:val="auto"/>
                      <w:sz w:val="21"/>
                      <w:szCs w:val="21"/>
                      <w:highlight w:val="none"/>
                      <w:lang w:val="en-US" w:eastAsia="zh-CN"/>
                    </w:rPr>
                    <w:t>废桶15kg/瓶的大豆油墨，塑料包装物重量约0.2kg；50kg/桶的水性光油，金属包装物空桶约</w:t>
                  </w:r>
                  <w:r>
                    <w:rPr>
                      <w:rFonts w:hint="eastAsia" w:cs="Times New Roman"/>
                      <w:b w:val="0"/>
                      <w:bCs w:val="0"/>
                      <w:color w:val="auto"/>
                      <w:sz w:val="21"/>
                      <w:szCs w:val="21"/>
                      <w:highlight w:val="none"/>
                      <w:lang w:val="en-US" w:eastAsia="zh-CN"/>
                    </w:rPr>
                    <w:t>2</w:t>
                  </w:r>
                  <w:r>
                    <w:rPr>
                      <w:rFonts w:hint="eastAsia" w:ascii="Times New Roman" w:hAnsi="Times New Roman" w:eastAsia="宋体" w:cs="Times New Roman"/>
                      <w:b w:val="0"/>
                      <w:bCs w:val="0"/>
                      <w:color w:val="auto"/>
                      <w:sz w:val="21"/>
                      <w:szCs w:val="21"/>
                      <w:highlight w:val="none"/>
                      <w:lang w:val="en-US" w:eastAsia="zh-CN"/>
                    </w:rPr>
                    <w:t>kg；25kg/桶的</w:t>
                  </w:r>
                  <w:r>
                    <w:rPr>
                      <w:rFonts w:hint="eastAsia" w:cs="Times New Roman"/>
                      <w:b w:val="0"/>
                      <w:bCs w:val="0"/>
                      <w:color w:val="auto"/>
                      <w:sz w:val="21"/>
                      <w:szCs w:val="21"/>
                      <w:highlight w:val="none"/>
                      <w:lang w:val="en-US" w:eastAsia="zh-CN"/>
                    </w:rPr>
                    <w:t>胶水</w:t>
                  </w:r>
                  <w:r>
                    <w:rPr>
                      <w:rFonts w:hint="eastAsia" w:ascii="Times New Roman" w:hAnsi="Times New Roman" w:eastAsia="宋体" w:cs="Times New Roman"/>
                      <w:b w:val="0"/>
                      <w:bCs w:val="0"/>
                      <w:color w:val="auto"/>
                      <w:sz w:val="21"/>
                      <w:szCs w:val="21"/>
                      <w:highlight w:val="none"/>
                      <w:lang w:val="en-US" w:eastAsia="zh-CN"/>
                    </w:rPr>
                    <w:t>空桶约</w:t>
                  </w:r>
                  <w:r>
                    <w:rPr>
                      <w:rFonts w:hint="eastAsia" w:cs="Times New Roman"/>
                      <w:b w:val="0"/>
                      <w:bCs w:val="0"/>
                      <w:color w:val="auto"/>
                      <w:sz w:val="21"/>
                      <w:szCs w:val="21"/>
                      <w:highlight w:val="none"/>
                      <w:lang w:val="en-US" w:eastAsia="zh-CN"/>
                    </w:rPr>
                    <w:t>1</w:t>
                  </w:r>
                  <w:r>
                    <w:rPr>
                      <w:rFonts w:hint="eastAsia" w:ascii="Times New Roman" w:hAnsi="Times New Roman" w:eastAsia="宋体" w:cs="Times New Roman"/>
                      <w:b w:val="0"/>
                      <w:bCs w:val="0"/>
                      <w:color w:val="auto"/>
                      <w:sz w:val="21"/>
                      <w:szCs w:val="21"/>
                      <w:highlight w:val="none"/>
                      <w:lang w:val="en-US" w:eastAsia="zh-CN"/>
                    </w:rPr>
                    <w:t>kg；</w:t>
                  </w:r>
                  <w:r>
                    <w:rPr>
                      <w:rFonts w:hint="eastAsia" w:ascii="Times New Roman" w:hAnsi="Times New Roman" w:eastAsia="宋体" w:cs="Times New Roman"/>
                      <w:b w:val="0"/>
                      <w:bCs w:val="0"/>
                      <w:color w:val="auto"/>
                      <w:kern w:val="2"/>
                      <w:sz w:val="21"/>
                      <w:szCs w:val="21"/>
                      <w:highlight w:val="none"/>
                      <w:vertAlign w:val="baseline"/>
                      <w:lang w:val="en-US" w:eastAsia="zh-CN" w:bidi="ar-SA"/>
                    </w:rPr>
                    <w:t>10kg/桶</w:t>
                  </w:r>
                  <w:r>
                    <w:rPr>
                      <w:rFonts w:hint="eastAsia" w:ascii="Times New Roman" w:hAnsi="Times New Roman" w:eastAsia="宋体" w:cs="Times New Roman"/>
                      <w:b w:val="0"/>
                      <w:bCs w:val="0"/>
                      <w:color w:val="auto"/>
                      <w:sz w:val="21"/>
                      <w:szCs w:val="21"/>
                      <w:highlight w:val="none"/>
                      <w:lang w:val="en-US" w:eastAsia="zh-CN"/>
                    </w:rPr>
                    <w:t>的清洗剂和润版液空桶约0.5kg；</w:t>
                  </w:r>
                  <w:r>
                    <w:rPr>
                      <w:rFonts w:hint="eastAsia" w:cs="Times New Roman"/>
                      <w:b w:val="0"/>
                      <w:bCs w:val="0"/>
                      <w:color w:val="auto"/>
                      <w:sz w:val="21"/>
                      <w:szCs w:val="21"/>
                      <w:highlight w:val="none"/>
                      <w:lang w:val="en-US" w:eastAsia="zh-CN"/>
                    </w:rPr>
                    <w:t>20</w:t>
                  </w:r>
                  <w:r>
                    <w:rPr>
                      <w:rFonts w:hint="eastAsia" w:ascii="Times New Roman" w:hAnsi="Times New Roman" w:eastAsia="宋体" w:cs="Times New Roman"/>
                      <w:b w:val="0"/>
                      <w:bCs w:val="0"/>
                      <w:color w:val="auto"/>
                      <w:sz w:val="21"/>
                      <w:szCs w:val="21"/>
                      <w:highlight w:val="none"/>
                      <w:lang w:val="en-US" w:eastAsia="zh-CN"/>
                    </w:rPr>
                    <w:t>kg/桶的</w:t>
                  </w:r>
                  <w:r>
                    <w:rPr>
                      <w:rFonts w:hint="eastAsia" w:cs="Times New Roman"/>
                      <w:b w:val="0"/>
                      <w:bCs w:val="0"/>
                      <w:color w:val="auto"/>
                      <w:sz w:val="21"/>
                      <w:szCs w:val="21"/>
                      <w:highlight w:val="none"/>
                      <w:lang w:val="en-US" w:eastAsia="zh-CN"/>
                    </w:rPr>
                    <w:t>天那水废桶</w:t>
                  </w:r>
                  <w:r>
                    <w:rPr>
                      <w:rFonts w:hint="eastAsia" w:ascii="Times New Roman" w:hAnsi="Times New Roman" w:eastAsia="宋体" w:cs="Times New Roman"/>
                      <w:b w:val="0"/>
                      <w:bCs w:val="0"/>
                      <w:color w:val="auto"/>
                      <w:sz w:val="21"/>
                      <w:szCs w:val="21"/>
                      <w:highlight w:val="none"/>
                      <w:lang w:val="en-US" w:eastAsia="zh-CN"/>
                    </w:rPr>
                    <w:t>，金属包装物空桶约</w:t>
                  </w:r>
                  <w:r>
                    <w:rPr>
                      <w:rFonts w:hint="eastAsia" w:cs="Times New Roman"/>
                      <w:b w:val="0"/>
                      <w:bCs w:val="0"/>
                      <w:color w:val="auto"/>
                      <w:sz w:val="21"/>
                      <w:szCs w:val="21"/>
                      <w:highlight w:val="none"/>
                      <w:lang w:val="en-US" w:eastAsia="zh-CN"/>
                    </w:rPr>
                    <w:t>1</w:t>
                  </w:r>
                  <w:r>
                    <w:rPr>
                      <w:rFonts w:hint="eastAsia" w:ascii="Times New Roman" w:hAnsi="Times New Roman" w:eastAsia="宋体" w:cs="Times New Roman"/>
                      <w:b w:val="0"/>
                      <w:bCs w:val="0"/>
                      <w:color w:val="auto"/>
                      <w:sz w:val="21"/>
                      <w:szCs w:val="21"/>
                      <w:highlight w:val="none"/>
                      <w:lang w:val="en-US" w:eastAsia="zh-CN"/>
                    </w:rPr>
                    <w:t>kg；PS版空盒约0.5kg。</w:t>
                  </w:r>
                </w:p>
              </w:tc>
            </w:tr>
          </w:tbl>
          <w:p w14:paraId="207EFD0F">
            <w:pPr>
              <w:keepNext w:val="0"/>
              <w:keepLines w:val="0"/>
              <w:numPr>
                <w:ilvl w:val="0"/>
                <w:numId w:val="0"/>
              </w:numPr>
              <w:suppressLineNumbers w:val="0"/>
              <w:snapToGrid w:val="0"/>
              <w:spacing w:before="0" w:beforeAutospacing="0" w:after="0" w:afterAutospacing="0" w:line="360" w:lineRule="auto"/>
              <w:ind w:left="420" w:leftChars="200" w:right="0"/>
              <w:jc w:val="left"/>
              <w:rPr>
                <w:rFonts w:hint="default" w:ascii="Times New Roman" w:hAnsi="Times New Roman" w:eastAsia="宋体" w:cs="Times New Roman"/>
                <w:b/>
                <w:color w:val="auto"/>
                <w:sz w:val="24"/>
                <w:highlight w:val="none"/>
                <w:lang w:val="en-US" w:eastAsia="zh-CN"/>
              </w:rPr>
            </w:pPr>
            <w:r>
              <w:rPr>
                <w:rFonts w:hint="eastAsia" w:ascii="Times New Roman" w:hAnsi="Times New Roman" w:eastAsia="宋体" w:cs="Times New Roman"/>
                <w:b/>
                <w:color w:val="auto"/>
                <w:sz w:val="24"/>
                <w:highlight w:val="none"/>
                <w:lang w:val="en-US" w:eastAsia="zh-CN"/>
              </w:rPr>
              <w:t>（4）</w:t>
            </w:r>
            <w:r>
              <w:rPr>
                <w:rFonts w:hint="default" w:ascii="Times New Roman" w:hAnsi="Times New Roman" w:eastAsia="宋体" w:cs="Times New Roman"/>
                <w:b/>
                <w:color w:val="auto"/>
                <w:sz w:val="24"/>
                <w:highlight w:val="none"/>
                <w:lang w:val="en-US" w:eastAsia="zh-CN"/>
              </w:rPr>
              <w:t>废活性炭</w:t>
            </w:r>
          </w:p>
          <w:p w14:paraId="09EC93A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rPr>
              <w:t>本项目有机废气采用</w:t>
            </w:r>
            <w:r>
              <w:rPr>
                <w:rFonts w:hint="eastAsia" w:cs="Times New Roman"/>
                <w:color w:val="auto"/>
                <w:sz w:val="24"/>
                <w:szCs w:val="32"/>
                <w:highlight w:val="none"/>
                <w:lang w:val="en-US" w:eastAsia="zh-CN"/>
              </w:rPr>
              <w:t>两级活性炭</w:t>
            </w:r>
            <w:r>
              <w:rPr>
                <w:rFonts w:hint="eastAsia" w:ascii="Times New Roman" w:hAnsi="Times New Roman" w:eastAsia="宋体" w:cs="Times New Roman"/>
                <w:color w:val="auto"/>
                <w:sz w:val="24"/>
                <w:szCs w:val="32"/>
                <w:highlight w:val="none"/>
                <w:lang w:val="en-US" w:eastAsia="zh-CN"/>
              </w:rPr>
              <w:t>工艺处理</w:t>
            </w:r>
            <w:r>
              <w:rPr>
                <w:rFonts w:hint="default" w:ascii="Times New Roman" w:hAnsi="Times New Roman" w:eastAsia="宋体" w:cs="Times New Roman"/>
                <w:color w:val="auto"/>
                <w:sz w:val="24"/>
                <w:szCs w:val="32"/>
                <w:highlight w:val="none"/>
              </w:rPr>
              <w:t>，根据上文</w:t>
            </w:r>
            <w:r>
              <w:rPr>
                <w:rFonts w:hint="eastAsia" w:ascii="Times New Roman" w:hAnsi="Times New Roman" w:eastAsia="宋体" w:cs="Times New Roman"/>
                <w:color w:val="auto"/>
                <w:sz w:val="24"/>
                <w:szCs w:val="32"/>
                <w:highlight w:val="none"/>
                <w:lang w:val="en-US" w:eastAsia="zh-CN"/>
              </w:rPr>
              <w:t>活性炭装填量分析可知</w:t>
            </w:r>
            <w:r>
              <w:rPr>
                <w:rFonts w:hint="default" w:ascii="Times New Roman" w:hAnsi="Times New Roman" w:eastAsia="宋体" w:cs="Times New Roman"/>
                <w:color w:val="auto"/>
                <w:sz w:val="24"/>
                <w:szCs w:val="32"/>
                <w:highlight w:val="none"/>
              </w:rPr>
              <w:t>，</w:t>
            </w:r>
            <w:r>
              <w:rPr>
                <w:rFonts w:hint="eastAsia" w:ascii="Times New Roman" w:hAnsi="Times New Roman" w:eastAsia="宋体" w:cs="Times New Roman"/>
                <w:color w:val="auto"/>
                <w:sz w:val="24"/>
                <w:szCs w:val="32"/>
                <w:highlight w:val="none"/>
                <w:lang w:val="en-US" w:eastAsia="zh-CN"/>
              </w:rPr>
              <w:t>年产废活性炭产生量</w:t>
            </w:r>
            <w:r>
              <w:rPr>
                <w:rFonts w:hint="eastAsia" w:cs="Times New Roman"/>
                <w:color w:val="auto"/>
                <w:sz w:val="24"/>
                <w:szCs w:val="32"/>
                <w:highlight w:val="none"/>
                <w:lang w:val="en-US" w:eastAsia="zh-CN"/>
              </w:rPr>
              <w:t>约</w:t>
            </w:r>
            <w:r>
              <w:rPr>
                <w:rFonts w:hint="eastAsia" w:ascii="Times New Roman" w:hAnsi="Times New Roman" w:eastAsia="宋体" w:cs="Times New Roman"/>
                <w:color w:val="auto"/>
                <w:sz w:val="24"/>
                <w:szCs w:val="32"/>
                <w:highlight w:val="none"/>
                <w:lang w:val="en-US" w:eastAsia="zh-CN"/>
              </w:rPr>
              <w:t>为</w:t>
            </w:r>
            <w:r>
              <w:rPr>
                <w:rFonts w:hint="eastAsia" w:cs="Times New Roman"/>
                <w:color w:val="auto"/>
                <w:sz w:val="24"/>
                <w:szCs w:val="32"/>
                <w:highlight w:val="none"/>
                <w:lang w:val="en-US" w:eastAsia="zh-CN"/>
              </w:rPr>
              <w:t>4.594</w:t>
            </w:r>
            <w:r>
              <w:rPr>
                <w:rFonts w:hint="eastAsia" w:ascii="Times New Roman" w:hAnsi="Times New Roman" w:eastAsia="宋体" w:cs="Times New Roman"/>
                <w:color w:val="auto"/>
                <w:sz w:val="24"/>
                <w:szCs w:val="32"/>
                <w:highlight w:val="none"/>
                <w:lang w:val="en-US" w:eastAsia="zh-CN"/>
              </w:rPr>
              <w:t>t/a</w:t>
            </w:r>
            <w:r>
              <w:rPr>
                <w:rFonts w:hint="eastAsia" w:cs="Times New Roman"/>
                <w:color w:val="auto"/>
                <w:sz w:val="24"/>
                <w:szCs w:val="32"/>
                <w:highlight w:val="none"/>
                <w:lang w:val="en-US" w:eastAsia="zh-CN"/>
              </w:rPr>
              <w:t>。</w:t>
            </w:r>
          </w:p>
          <w:p w14:paraId="0564BA6B">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32"/>
                <w:highlight w:val="none"/>
              </w:rPr>
            </w:pPr>
            <w:r>
              <w:rPr>
                <w:rFonts w:hint="default" w:ascii="Times New Roman" w:hAnsi="Times New Roman" w:eastAsia="宋体" w:cs="Times New Roman"/>
                <w:color w:val="auto"/>
                <w:sz w:val="24"/>
                <w:szCs w:val="32"/>
                <w:highlight w:val="none"/>
              </w:rPr>
              <w:t>废活性炭属于《国家危险废物名录》（202</w:t>
            </w:r>
            <w:r>
              <w:rPr>
                <w:rFonts w:hint="eastAsia" w:ascii="Times New Roman" w:hAnsi="Times New Roman" w:eastAsia="宋体" w:cs="Times New Roman"/>
                <w:color w:val="auto"/>
                <w:sz w:val="24"/>
                <w:szCs w:val="32"/>
                <w:highlight w:val="none"/>
                <w:lang w:val="en-US" w:eastAsia="zh-CN"/>
              </w:rPr>
              <w:t>5</w:t>
            </w:r>
            <w:r>
              <w:rPr>
                <w:rFonts w:hint="default" w:ascii="Times New Roman" w:hAnsi="Times New Roman" w:eastAsia="宋体" w:cs="Times New Roman"/>
                <w:color w:val="auto"/>
                <w:sz w:val="24"/>
                <w:szCs w:val="32"/>
                <w:highlight w:val="none"/>
              </w:rPr>
              <w:t>年版）中废物类别为HW49其它废物（废物代码 900-039-49），收集后存放于危险废物暂存间内，定期交由有相应危险废物处置资质的单位进行处置。</w:t>
            </w:r>
          </w:p>
          <w:p w14:paraId="0FA54FC2">
            <w:pPr>
              <w:keepNext w:val="0"/>
              <w:keepLines w:val="0"/>
              <w:numPr>
                <w:ilvl w:val="0"/>
                <w:numId w:val="0"/>
              </w:numPr>
              <w:suppressLineNumbers w:val="0"/>
              <w:snapToGrid w:val="0"/>
              <w:spacing w:before="0" w:beforeAutospacing="0" w:after="0" w:afterAutospacing="0" w:line="360" w:lineRule="auto"/>
              <w:ind w:left="420" w:leftChars="200" w:right="0"/>
              <w:jc w:val="left"/>
              <w:rPr>
                <w:rFonts w:hint="eastAsia" w:ascii="Times New Roman" w:hAnsi="Times New Roman" w:eastAsia="宋体" w:cs="Times New Roman"/>
                <w:b/>
                <w:color w:val="auto"/>
                <w:sz w:val="24"/>
                <w:highlight w:val="none"/>
                <w:lang w:val="en-US" w:eastAsia="zh-CN"/>
              </w:rPr>
            </w:pPr>
            <w:r>
              <w:rPr>
                <w:rFonts w:hint="eastAsia" w:ascii="Times New Roman" w:hAnsi="Times New Roman" w:eastAsia="宋体" w:cs="Times New Roman"/>
                <w:b/>
                <w:color w:val="auto"/>
                <w:sz w:val="24"/>
                <w:highlight w:val="none"/>
                <w:lang w:val="en-US" w:eastAsia="zh-CN"/>
              </w:rPr>
              <w:t>（5）废抹布、废橡皮抹布</w:t>
            </w:r>
          </w:p>
          <w:p w14:paraId="6540E4FE">
            <w:pPr>
              <w:keepNext w:val="0"/>
              <w:keepLines w:val="0"/>
              <w:numPr>
                <w:ilvl w:val="0"/>
                <w:numId w:val="0"/>
              </w:numPr>
              <w:suppressLineNumbers w:val="0"/>
              <w:spacing w:before="0" w:beforeAutospacing="0" w:after="0" w:afterAutospacing="0" w:line="360" w:lineRule="auto"/>
              <w:ind w:left="0" w:leftChars="0" w:right="0" w:firstLine="420" w:firstLineChars="175"/>
              <w:jc w:val="both"/>
              <w:rPr>
                <w:rFonts w:hint="eastAsia" w:ascii="Times New Roman" w:hAnsi="Times New Roman" w:eastAsia="宋体" w:cs="Times New Roman"/>
                <w:color w:val="auto"/>
                <w:sz w:val="24"/>
                <w:szCs w:val="32"/>
                <w:highlight w:val="none"/>
                <w:lang w:eastAsia="zh-CN"/>
              </w:rPr>
            </w:pPr>
            <w:r>
              <w:rPr>
                <w:rFonts w:hint="eastAsia" w:ascii="Times New Roman" w:hAnsi="Times New Roman" w:eastAsia="宋体" w:cs="Times New Roman"/>
                <w:color w:val="auto"/>
                <w:sz w:val="24"/>
                <w:szCs w:val="32"/>
                <w:highlight w:val="none"/>
                <w:lang w:val="en-US" w:eastAsia="zh-CN"/>
              </w:rPr>
              <w:t>根据建设单位提供的数据，自动橡皮布清洗系统定期更换橡皮布以及手动清洗油墨时产生废抹布，废橡皮抹布，产生量为0.05t/a。该废物</w:t>
            </w:r>
            <w:r>
              <w:rPr>
                <w:rFonts w:hint="default" w:ascii="Times New Roman" w:hAnsi="Times New Roman" w:eastAsia="宋体" w:cs="Times New Roman"/>
                <w:color w:val="auto"/>
                <w:sz w:val="24"/>
                <w:szCs w:val="32"/>
                <w:highlight w:val="none"/>
              </w:rPr>
              <w:t>属于《国家危险废物名录》（202</w:t>
            </w:r>
            <w:r>
              <w:rPr>
                <w:rFonts w:hint="eastAsia" w:ascii="Times New Roman" w:hAnsi="Times New Roman" w:eastAsia="宋体" w:cs="Times New Roman"/>
                <w:color w:val="auto"/>
                <w:sz w:val="24"/>
                <w:szCs w:val="32"/>
                <w:highlight w:val="none"/>
                <w:lang w:val="en-US" w:eastAsia="zh-CN"/>
              </w:rPr>
              <w:t>5</w:t>
            </w:r>
            <w:r>
              <w:rPr>
                <w:rFonts w:hint="default" w:ascii="Times New Roman" w:hAnsi="Times New Roman" w:eastAsia="宋体" w:cs="Times New Roman"/>
                <w:color w:val="auto"/>
                <w:sz w:val="24"/>
                <w:szCs w:val="32"/>
                <w:highlight w:val="none"/>
              </w:rPr>
              <w:t>年版）中废物类别为HW49其它废物（废物代码 900-0</w:t>
            </w:r>
            <w:r>
              <w:rPr>
                <w:rFonts w:hint="eastAsia" w:ascii="Times New Roman" w:hAnsi="Times New Roman" w:eastAsia="宋体" w:cs="Times New Roman"/>
                <w:color w:val="auto"/>
                <w:sz w:val="24"/>
                <w:szCs w:val="32"/>
                <w:highlight w:val="none"/>
                <w:lang w:val="en-US" w:eastAsia="zh-CN"/>
              </w:rPr>
              <w:t>41</w:t>
            </w:r>
            <w:r>
              <w:rPr>
                <w:rFonts w:hint="default" w:ascii="Times New Roman" w:hAnsi="Times New Roman" w:eastAsia="宋体" w:cs="Times New Roman"/>
                <w:color w:val="auto"/>
                <w:sz w:val="24"/>
                <w:szCs w:val="32"/>
                <w:highlight w:val="none"/>
              </w:rPr>
              <w:t>-49）</w:t>
            </w:r>
            <w:r>
              <w:rPr>
                <w:rFonts w:hint="eastAsia" w:ascii="Times New Roman" w:hAnsi="Times New Roman" w:eastAsia="宋体" w:cs="Times New Roman"/>
                <w:color w:val="auto"/>
                <w:sz w:val="24"/>
                <w:szCs w:val="32"/>
                <w:highlight w:val="none"/>
                <w:lang w:eastAsia="zh-CN"/>
              </w:rPr>
              <w:t>。</w:t>
            </w:r>
          </w:p>
          <w:p w14:paraId="1CCE422D">
            <w:pPr>
              <w:keepNext w:val="0"/>
              <w:keepLines w:val="0"/>
              <w:numPr>
                <w:ilvl w:val="0"/>
                <w:numId w:val="0"/>
              </w:numPr>
              <w:suppressLineNumbers w:val="0"/>
              <w:snapToGrid w:val="0"/>
              <w:spacing w:before="0" w:beforeAutospacing="0" w:after="0" w:afterAutospacing="0" w:line="360" w:lineRule="auto"/>
              <w:ind w:left="0" w:right="0" w:firstLine="482" w:firstLineChars="200"/>
              <w:jc w:val="left"/>
              <w:rPr>
                <w:rFonts w:hint="eastAsia" w:ascii="Times New Roman" w:hAnsi="Times New Roman" w:eastAsia="宋体" w:cs="Times New Roman"/>
                <w:b/>
                <w:color w:val="auto"/>
                <w:sz w:val="24"/>
                <w:highlight w:val="none"/>
                <w:lang w:val="en-US" w:eastAsia="zh-CN"/>
              </w:rPr>
            </w:pPr>
            <w:r>
              <w:rPr>
                <w:rFonts w:hint="eastAsia" w:ascii="Times New Roman" w:hAnsi="Times New Roman" w:eastAsia="宋体" w:cs="Times New Roman"/>
                <w:b/>
                <w:color w:val="auto"/>
                <w:sz w:val="24"/>
                <w:highlight w:val="none"/>
                <w:lang w:val="en-US" w:eastAsia="zh-CN"/>
              </w:rPr>
              <w:t>（6）废PS版</w:t>
            </w:r>
          </w:p>
          <w:p w14:paraId="3887E632">
            <w:pPr>
              <w:keepNext w:val="0"/>
              <w:keepLines w:val="0"/>
              <w:numPr>
                <w:ilvl w:val="0"/>
                <w:numId w:val="0"/>
              </w:numPr>
              <w:suppressLineNumbers w:val="0"/>
              <w:snapToGrid w:val="0"/>
              <w:spacing w:before="0" w:beforeAutospacing="0" w:after="0" w:afterAutospacing="0" w:line="360" w:lineRule="auto"/>
              <w:ind w:left="0" w:right="0" w:firstLine="480"/>
              <w:jc w:val="left"/>
              <w:rPr>
                <w:rFonts w:hint="eastAsia"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b w:val="0"/>
                <w:bCs/>
                <w:color w:val="auto"/>
                <w:sz w:val="24"/>
                <w:szCs w:val="24"/>
                <w:highlight w:val="none"/>
                <w:lang w:val="en-US" w:eastAsia="zh-CN"/>
              </w:rPr>
              <w:t>每年的产生量为</w:t>
            </w:r>
            <w:r>
              <w:rPr>
                <w:rFonts w:hint="eastAsia" w:ascii="Times New Roman" w:hAnsi="Times New Roman" w:eastAsia="宋体" w:cs="Times New Roman"/>
                <w:b w:val="0"/>
                <w:bCs/>
                <w:color w:val="auto"/>
                <w:sz w:val="24"/>
                <w:szCs w:val="24"/>
                <w:highlight w:val="none"/>
                <w:lang w:val="en-US" w:eastAsia="zh-CN"/>
              </w:rPr>
              <w:t>1</w:t>
            </w:r>
            <w:r>
              <w:rPr>
                <w:rFonts w:hint="default" w:ascii="Times New Roman" w:hAnsi="Times New Roman" w:eastAsia="宋体" w:cs="Times New Roman"/>
                <w:b w:val="0"/>
                <w:bCs/>
                <w:color w:val="auto"/>
                <w:sz w:val="24"/>
                <w:szCs w:val="24"/>
                <w:highlight w:val="none"/>
                <w:lang w:val="en-US" w:eastAsia="zh-CN"/>
              </w:rPr>
              <w:t>t/a，</w:t>
            </w:r>
            <w:r>
              <w:rPr>
                <w:rFonts w:hint="default" w:ascii="Times New Roman" w:hAnsi="Times New Roman" w:eastAsia="宋体" w:cs="Times New Roman"/>
                <w:b w:val="0"/>
                <w:bCs w:val="0"/>
                <w:color w:val="auto"/>
                <w:sz w:val="24"/>
                <w:szCs w:val="24"/>
                <w:highlight w:val="none"/>
                <w:lang w:val="en-US" w:eastAsia="zh-CN"/>
              </w:rPr>
              <w:t>本项目所用的制版为PS版，不属于CTP制版技术。因此，列入一般固体废物中的废板类</w:t>
            </w:r>
            <w:r>
              <w:rPr>
                <w:rFonts w:hint="eastAsia" w:ascii="Times New Roman" w:hAnsi="Times New Roman" w:eastAsia="宋体" w:cs="Times New Roman"/>
                <w:b w:val="0"/>
                <w:bCs w:val="0"/>
                <w:color w:val="auto"/>
                <w:sz w:val="24"/>
                <w:szCs w:val="24"/>
                <w:highlight w:val="none"/>
                <w:lang w:val="en-US" w:eastAsia="zh-CN"/>
              </w:rPr>
              <w:t>。查阅</w:t>
            </w:r>
            <w:r>
              <w:rPr>
                <w:rFonts w:hint="default" w:ascii="Times New Roman" w:hAnsi="Times New Roman" w:eastAsia="宋体" w:cs="Times New Roman"/>
                <w:color w:val="auto"/>
                <w:kern w:val="2"/>
                <w:sz w:val="24"/>
                <w:szCs w:val="24"/>
                <w:highlight w:val="none"/>
                <w:lang w:val="en-US" w:eastAsia="zh-CN" w:bidi="ar-SA"/>
              </w:rPr>
              <w:t>《固体废物分类与代码目录》（2024年版）</w:t>
            </w:r>
            <w:r>
              <w:rPr>
                <w:rFonts w:hint="eastAsia" w:ascii="Times New Roman" w:hAnsi="Times New Roman" w:eastAsia="宋体" w:cs="Times New Roman"/>
                <w:color w:val="auto"/>
                <w:kern w:val="2"/>
                <w:sz w:val="24"/>
                <w:szCs w:val="24"/>
                <w:highlight w:val="none"/>
                <w:lang w:val="en-US" w:eastAsia="zh-CN" w:bidi="ar-SA"/>
              </w:rPr>
              <w:t>，属于SW15造纸印刷业废物中的印刷行业产生的废版，废物代码231-001-S15。暂存于一般固废暂存间，定期交由具有处理能力的单位处理。</w:t>
            </w:r>
          </w:p>
          <w:p w14:paraId="02DB7DC3">
            <w:pPr>
              <w:keepNext w:val="0"/>
              <w:keepLines w:val="0"/>
              <w:numPr>
                <w:ilvl w:val="0"/>
                <w:numId w:val="0"/>
              </w:numPr>
              <w:suppressLineNumbers w:val="0"/>
              <w:snapToGrid w:val="0"/>
              <w:spacing w:before="0" w:beforeAutospacing="0" w:after="0" w:afterAutospacing="0" w:line="360" w:lineRule="auto"/>
              <w:ind w:left="0" w:right="0" w:firstLine="482" w:firstLineChars="200"/>
              <w:jc w:val="left"/>
              <w:rPr>
                <w:rFonts w:hint="eastAsia" w:ascii="Times New Roman" w:hAnsi="Times New Roman" w:eastAsia="宋体" w:cs="Times New Roman"/>
                <w:b/>
                <w:color w:val="auto"/>
                <w:sz w:val="24"/>
                <w:highlight w:val="none"/>
                <w:lang w:val="en-US" w:eastAsia="zh-CN"/>
              </w:rPr>
            </w:pPr>
            <w:r>
              <w:rPr>
                <w:rFonts w:hint="eastAsia" w:ascii="Times New Roman" w:hAnsi="Times New Roman" w:eastAsia="宋体" w:cs="Times New Roman"/>
                <w:b/>
                <w:color w:val="auto"/>
                <w:sz w:val="24"/>
                <w:highlight w:val="none"/>
                <w:lang w:val="en-US" w:eastAsia="zh-CN"/>
              </w:rPr>
              <w:t>（</w:t>
            </w:r>
            <w:r>
              <w:rPr>
                <w:rFonts w:hint="eastAsia" w:cs="Times New Roman"/>
                <w:b/>
                <w:color w:val="auto"/>
                <w:sz w:val="24"/>
                <w:highlight w:val="none"/>
                <w:lang w:val="en-US" w:eastAsia="zh-CN"/>
              </w:rPr>
              <w:t>7</w:t>
            </w:r>
            <w:r>
              <w:rPr>
                <w:rFonts w:hint="eastAsia" w:ascii="Times New Roman" w:hAnsi="Times New Roman" w:eastAsia="宋体" w:cs="Times New Roman"/>
                <w:b/>
                <w:color w:val="auto"/>
                <w:sz w:val="24"/>
                <w:highlight w:val="none"/>
                <w:lang w:val="en-US" w:eastAsia="zh-CN"/>
              </w:rPr>
              <w:t>）废油墨渣</w:t>
            </w:r>
          </w:p>
          <w:p w14:paraId="0CF9BC32">
            <w:pPr>
              <w:keepNext w:val="0"/>
              <w:keepLines w:val="0"/>
              <w:numPr>
                <w:ilvl w:val="0"/>
                <w:numId w:val="0"/>
              </w:numPr>
              <w:suppressLineNumbers w:val="0"/>
              <w:snapToGrid w:val="0"/>
              <w:spacing w:before="0" w:beforeAutospacing="0" w:after="0" w:afterAutospacing="0" w:line="360" w:lineRule="auto"/>
              <w:ind w:left="0" w:leftChars="0" w:right="0" w:firstLine="480" w:firstLineChars="200"/>
              <w:jc w:val="left"/>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胶印机、油墨印刷机清洗过程中产生废油墨渣，预计年产生量为0.05t/a，该废物属于危险废物，HW12染料、涂料废物中的使用油墨和有机溶剂进行印刷、涂布产生的废物，代码900-253-12，暂存于危废间，委托危废资质单位处置。</w:t>
            </w:r>
          </w:p>
          <w:p w14:paraId="50B3E5F2">
            <w:pPr>
              <w:keepNext w:val="0"/>
              <w:keepLines w:val="0"/>
              <w:numPr>
                <w:ilvl w:val="0"/>
                <w:numId w:val="0"/>
              </w:numPr>
              <w:suppressLineNumbers w:val="0"/>
              <w:snapToGrid w:val="0"/>
              <w:spacing w:before="0" w:beforeAutospacing="0" w:after="0" w:afterAutospacing="0" w:line="360" w:lineRule="auto"/>
              <w:ind w:left="0" w:right="0" w:firstLine="482" w:firstLineChars="200"/>
              <w:jc w:val="left"/>
              <w:rPr>
                <w:rFonts w:hint="eastAsia" w:ascii="Times New Roman" w:hAnsi="Times New Roman" w:eastAsia="宋体" w:cs="Times New Roman"/>
                <w:b/>
                <w:color w:val="auto"/>
                <w:sz w:val="24"/>
                <w:highlight w:val="none"/>
                <w:lang w:val="en-US" w:eastAsia="zh-CN"/>
              </w:rPr>
            </w:pPr>
            <w:r>
              <w:rPr>
                <w:rFonts w:hint="eastAsia" w:ascii="Times New Roman" w:hAnsi="Times New Roman" w:eastAsia="宋体" w:cs="Times New Roman"/>
                <w:b/>
                <w:color w:val="auto"/>
                <w:sz w:val="24"/>
                <w:highlight w:val="none"/>
                <w:lang w:val="en-US" w:eastAsia="zh-CN"/>
              </w:rPr>
              <w:t>（</w:t>
            </w:r>
            <w:r>
              <w:rPr>
                <w:rFonts w:hint="eastAsia" w:cs="Times New Roman"/>
                <w:b/>
                <w:color w:val="auto"/>
                <w:sz w:val="24"/>
                <w:highlight w:val="none"/>
                <w:lang w:val="en-US" w:eastAsia="zh-CN"/>
              </w:rPr>
              <w:t>8</w:t>
            </w:r>
            <w:r>
              <w:rPr>
                <w:rFonts w:hint="eastAsia" w:ascii="Times New Roman" w:hAnsi="Times New Roman" w:eastAsia="宋体" w:cs="Times New Roman"/>
                <w:b/>
                <w:color w:val="auto"/>
                <w:sz w:val="24"/>
                <w:highlight w:val="none"/>
                <w:lang w:val="en-US" w:eastAsia="zh-CN"/>
              </w:rPr>
              <w:t>）废机油</w:t>
            </w:r>
          </w:p>
          <w:p w14:paraId="46A3B8B0">
            <w:pPr>
              <w:keepNext w:val="0"/>
              <w:keepLines w:val="0"/>
              <w:numPr>
                <w:ilvl w:val="0"/>
                <w:numId w:val="0"/>
              </w:numPr>
              <w:suppressLineNumbers w:val="0"/>
              <w:snapToGrid w:val="0"/>
              <w:spacing w:before="0" w:beforeAutospacing="0" w:after="0" w:afterAutospacing="0" w:line="360" w:lineRule="auto"/>
              <w:ind w:left="0" w:leftChars="0" w:right="0" w:firstLine="420" w:firstLineChars="175"/>
              <w:jc w:val="left"/>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生产设备维护需定期更换润滑油，产生废机油0.02t/a，</w:t>
            </w:r>
            <w:r>
              <w:rPr>
                <w:rFonts w:hint="eastAsia" w:ascii="Times New Roman" w:hAnsi="Times New Roman" w:eastAsia="宋体" w:cs="Times New Roman"/>
                <w:color w:val="auto"/>
                <w:sz w:val="24"/>
                <w:szCs w:val="32"/>
                <w:highlight w:val="none"/>
                <w:lang w:val="en-US" w:eastAsia="zh-CN"/>
              </w:rPr>
              <w:t>该废物</w:t>
            </w:r>
            <w:r>
              <w:rPr>
                <w:rFonts w:hint="default" w:ascii="Times New Roman" w:hAnsi="Times New Roman" w:eastAsia="宋体" w:cs="Times New Roman"/>
                <w:color w:val="auto"/>
                <w:sz w:val="24"/>
                <w:szCs w:val="32"/>
                <w:highlight w:val="none"/>
              </w:rPr>
              <w:t>属于《国家危险废物名录》（202</w:t>
            </w:r>
            <w:r>
              <w:rPr>
                <w:rFonts w:hint="eastAsia" w:ascii="Times New Roman" w:hAnsi="Times New Roman" w:eastAsia="宋体" w:cs="Times New Roman"/>
                <w:color w:val="auto"/>
                <w:sz w:val="24"/>
                <w:szCs w:val="32"/>
                <w:highlight w:val="none"/>
                <w:lang w:val="en-US" w:eastAsia="zh-CN"/>
              </w:rPr>
              <w:t>5</w:t>
            </w:r>
            <w:r>
              <w:rPr>
                <w:rFonts w:hint="default" w:ascii="Times New Roman" w:hAnsi="Times New Roman" w:eastAsia="宋体" w:cs="Times New Roman"/>
                <w:color w:val="auto"/>
                <w:sz w:val="24"/>
                <w:szCs w:val="32"/>
                <w:highlight w:val="none"/>
              </w:rPr>
              <w:t>年版）中废物类别</w:t>
            </w:r>
            <w:r>
              <w:rPr>
                <w:rFonts w:hint="eastAsia" w:ascii="Times New Roman" w:hAnsi="Times New Roman" w:eastAsia="宋体" w:cs="Times New Roman"/>
                <w:color w:val="auto"/>
                <w:sz w:val="24"/>
                <w:szCs w:val="32"/>
                <w:highlight w:val="none"/>
                <w:lang w:val="en-US" w:eastAsia="zh-CN"/>
              </w:rPr>
              <w:t>HW08废矿物油与含矿物油废物中的900-249-08。</w:t>
            </w:r>
          </w:p>
          <w:p w14:paraId="1105D869">
            <w:pPr>
              <w:keepNext w:val="0"/>
              <w:keepLines w:val="0"/>
              <w:numPr>
                <w:ilvl w:val="0"/>
                <w:numId w:val="0"/>
              </w:numPr>
              <w:suppressLineNumbers w:val="0"/>
              <w:snapToGrid w:val="0"/>
              <w:spacing w:before="0" w:beforeAutospacing="0" w:after="0" w:afterAutospacing="0" w:line="360" w:lineRule="auto"/>
              <w:ind w:left="0" w:right="0" w:firstLine="482" w:firstLineChars="200"/>
              <w:jc w:val="left"/>
              <w:rPr>
                <w:rFonts w:hint="eastAsia" w:ascii="Times New Roman" w:hAnsi="Times New Roman" w:eastAsia="宋体" w:cs="Times New Roman"/>
                <w:b/>
                <w:color w:val="auto"/>
                <w:sz w:val="24"/>
                <w:highlight w:val="none"/>
                <w:lang w:val="en-US" w:eastAsia="zh-CN"/>
              </w:rPr>
            </w:pPr>
            <w:r>
              <w:rPr>
                <w:rFonts w:hint="eastAsia" w:ascii="Times New Roman" w:hAnsi="Times New Roman" w:eastAsia="宋体" w:cs="Times New Roman"/>
                <w:b/>
                <w:color w:val="auto"/>
                <w:sz w:val="24"/>
                <w:highlight w:val="none"/>
                <w:lang w:val="en-US" w:eastAsia="zh-CN"/>
              </w:rPr>
              <w:t>（10）清洗废水</w:t>
            </w:r>
          </w:p>
          <w:p w14:paraId="1C4D62DD">
            <w:pPr>
              <w:keepNext w:val="0"/>
              <w:keepLines w:val="0"/>
              <w:numPr>
                <w:ilvl w:val="0"/>
                <w:numId w:val="0"/>
              </w:numPr>
              <w:suppressLineNumbers w:val="0"/>
              <w:spacing w:before="0" w:beforeAutospacing="0" w:after="0" w:afterAutospacing="0" w:line="360" w:lineRule="auto"/>
              <w:ind w:left="0" w:leftChars="0" w:right="0" w:firstLine="420" w:firstLineChars="175"/>
              <w:jc w:val="left"/>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当需要手工清洗胶印机油墨时，产生清洗废水，根据上文的废水分析可知，年产生量为0.06</w:t>
            </w:r>
            <w:r>
              <w:rPr>
                <w:rFonts w:hint="eastAsia" w:cs="Times New Roman"/>
                <w:color w:val="auto"/>
                <w:sz w:val="24"/>
                <w:highlight w:val="none"/>
                <w:lang w:val="en-US" w:eastAsia="zh-CN"/>
              </w:rPr>
              <w:t>t</w:t>
            </w:r>
            <w:r>
              <w:rPr>
                <w:rFonts w:hint="eastAsia" w:ascii="Times New Roman" w:hAnsi="Times New Roman" w:eastAsia="宋体" w:cs="Times New Roman"/>
                <w:color w:val="auto"/>
                <w:sz w:val="24"/>
                <w:highlight w:val="none"/>
                <w:lang w:val="en-US" w:eastAsia="zh-CN"/>
              </w:rPr>
              <w:t>/a，属于危险废物，HW06废有机溶剂与含有机溶剂废物中900-404-06，暂存于危废桶，委托危废资质单位处置。</w:t>
            </w:r>
          </w:p>
          <w:p w14:paraId="3ACCF2D6">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综上所述，</w:t>
            </w:r>
            <w:r>
              <w:rPr>
                <w:rFonts w:hint="default" w:ascii="Times New Roman" w:hAnsi="Times New Roman" w:eastAsia="宋体" w:cs="Times New Roman"/>
                <w:color w:val="auto"/>
                <w:sz w:val="24"/>
                <w:highlight w:val="none"/>
              </w:rPr>
              <w:t>项目固体废物污染源源强核算结果及相关参数见下表：</w:t>
            </w:r>
          </w:p>
          <w:p w14:paraId="48B7B7AB">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b/>
                <w:bCs/>
                <w:color w:val="auto"/>
                <w:szCs w:val="21"/>
                <w:highlight w:val="none"/>
                <w:lang w:val="en-US" w:eastAsia="zh-CN"/>
              </w:rPr>
            </w:pPr>
            <w:r>
              <w:rPr>
                <w:rFonts w:hint="default" w:ascii="Times New Roman" w:hAnsi="Times New Roman" w:eastAsia="宋体" w:cs="Times New Roman"/>
                <w:b/>
                <w:color w:val="auto"/>
                <w:szCs w:val="21"/>
                <w:highlight w:val="none"/>
              </w:rPr>
              <w:t>表</w:t>
            </w:r>
            <w:r>
              <w:rPr>
                <w:rFonts w:hint="eastAsia" w:ascii="Times New Roman" w:hAnsi="Times New Roman" w:eastAsia="宋体" w:cs="Times New Roman"/>
                <w:b/>
                <w:color w:val="auto"/>
                <w:szCs w:val="21"/>
                <w:highlight w:val="none"/>
                <w:lang w:val="en-US" w:eastAsia="zh-CN"/>
              </w:rPr>
              <w:t>4</w:t>
            </w:r>
            <w:r>
              <w:rPr>
                <w:rFonts w:hint="eastAsia" w:cs="Times New Roman"/>
                <w:b/>
                <w:color w:val="auto"/>
                <w:szCs w:val="21"/>
                <w:highlight w:val="none"/>
                <w:lang w:val="en-US" w:eastAsia="zh-CN"/>
              </w:rPr>
              <w:t>-1</w:t>
            </w:r>
            <w:r>
              <w:rPr>
                <w:rFonts w:hint="eastAsia" w:ascii="Times New Roman" w:hAnsi="Times New Roman" w:eastAsia="宋体" w:cs="Times New Roman"/>
                <w:b/>
                <w:color w:val="auto"/>
                <w:szCs w:val="21"/>
                <w:highlight w:val="none"/>
                <w:lang w:val="en-US" w:eastAsia="zh-CN"/>
              </w:rPr>
              <w:t>9</w:t>
            </w:r>
            <w:r>
              <w:rPr>
                <w:rFonts w:hint="default" w:ascii="Times New Roman" w:hAnsi="Times New Roman" w:eastAsia="宋体" w:cs="Times New Roman"/>
                <w:b/>
                <w:color w:val="auto"/>
                <w:szCs w:val="21"/>
                <w:highlight w:val="none"/>
              </w:rPr>
              <w:t xml:space="preserve"> 本</w:t>
            </w:r>
            <w:r>
              <w:rPr>
                <w:rFonts w:hint="default" w:ascii="Times New Roman" w:hAnsi="Times New Roman" w:eastAsia="宋体" w:cs="Times New Roman"/>
                <w:b/>
                <w:bCs/>
                <w:color w:val="auto"/>
                <w:szCs w:val="21"/>
                <w:highlight w:val="none"/>
              </w:rPr>
              <w:t>项目</w:t>
            </w:r>
            <w:r>
              <w:rPr>
                <w:rFonts w:hint="eastAsia" w:ascii="Times New Roman" w:hAnsi="Times New Roman" w:eastAsia="宋体" w:cs="Times New Roman"/>
                <w:b/>
                <w:bCs/>
                <w:color w:val="auto"/>
                <w:szCs w:val="21"/>
                <w:highlight w:val="none"/>
                <w:lang w:val="en-US" w:eastAsia="zh-CN"/>
              </w:rPr>
              <w:t>生活垃圾、一般工业固废产生情况一览表</w:t>
            </w:r>
          </w:p>
          <w:tbl>
            <w:tblPr>
              <w:tblStyle w:val="31"/>
              <w:tblW w:w="780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78"/>
              <w:gridCol w:w="847"/>
              <w:gridCol w:w="982"/>
              <w:gridCol w:w="1480"/>
              <w:gridCol w:w="471"/>
              <w:gridCol w:w="595"/>
              <w:gridCol w:w="838"/>
              <w:gridCol w:w="787"/>
              <w:gridCol w:w="725"/>
              <w:gridCol w:w="697"/>
            </w:tblGrid>
            <w:tr w14:paraId="362859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378" w:type="dxa"/>
                  <w:tcBorders>
                    <w:top w:val="single" w:color="auto" w:sz="8" w:space="0"/>
                    <w:left w:val="single" w:color="auto" w:sz="8" w:space="0"/>
                    <w:bottom w:val="single" w:color="auto" w:sz="4" w:space="0"/>
                    <w:right w:val="single" w:color="auto" w:sz="4" w:space="0"/>
                  </w:tcBorders>
                  <w:noWrap w:val="0"/>
                  <w:vAlign w:val="center"/>
                </w:tcPr>
                <w:p w14:paraId="6CAA5CE1">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b/>
                      <w:bCs w:val="0"/>
                      <w:color w:val="auto"/>
                      <w:kern w:val="2"/>
                      <w:sz w:val="21"/>
                      <w:szCs w:val="21"/>
                      <w:highlight w:val="none"/>
                    </w:rPr>
                  </w:pPr>
                  <w:r>
                    <w:rPr>
                      <w:rFonts w:hint="default" w:ascii="Times New Roman" w:hAnsi="Times New Roman" w:eastAsia="宋体" w:cs="Times New Roman"/>
                      <w:b/>
                      <w:bCs w:val="0"/>
                      <w:color w:val="auto"/>
                      <w:kern w:val="2"/>
                      <w:sz w:val="21"/>
                      <w:szCs w:val="21"/>
                      <w:highlight w:val="none"/>
                      <w:lang w:val="en-US" w:eastAsia="zh-CN" w:bidi="ar"/>
                    </w:rPr>
                    <w:t>序号</w:t>
                  </w:r>
                </w:p>
              </w:tc>
              <w:tc>
                <w:tcPr>
                  <w:tcW w:w="847" w:type="dxa"/>
                  <w:tcBorders>
                    <w:top w:val="single" w:color="auto" w:sz="8" w:space="0"/>
                    <w:left w:val="nil"/>
                    <w:bottom w:val="single" w:color="auto" w:sz="4" w:space="0"/>
                    <w:right w:val="single" w:color="auto" w:sz="4" w:space="0"/>
                  </w:tcBorders>
                  <w:noWrap w:val="0"/>
                  <w:vAlign w:val="center"/>
                </w:tcPr>
                <w:p w14:paraId="4EEDE8BB">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b/>
                      <w:bCs w:val="0"/>
                      <w:color w:val="auto"/>
                      <w:kern w:val="2"/>
                      <w:sz w:val="21"/>
                      <w:szCs w:val="21"/>
                      <w:highlight w:val="none"/>
                    </w:rPr>
                  </w:pPr>
                  <w:r>
                    <w:rPr>
                      <w:rFonts w:hint="default" w:ascii="Times New Roman" w:hAnsi="Times New Roman" w:eastAsia="宋体" w:cs="Times New Roman"/>
                      <w:b/>
                      <w:bCs w:val="0"/>
                      <w:color w:val="auto"/>
                      <w:kern w:val="2"/>
                      <w:sz w:val="21"/>
                      <w:szCs w:val="21"/>
                      <w:highlight w:val="none"/>
                      <w:lang w:val="en-US" w:eastAsia="zh-CN" w:bidi="ar"/>
                    </w:rPr>
                    <w:t>产废环节</w:t>
                  </w:r>
                </w:p>
              </w:tc>
              <w:tc>
                <w:tcPr>
                  <w:tcW w:w="982" w:type="dxa"/>
                  <w:tcBorders>
                    <w:top w:val="single" w:color="auto" w:sz="8" w:space="0"/>
                    <w:left w:val="nil"/>
                    <w:bottom w:val="single" w:color="auto" w:sz="4" w:space="0"/>
                    <w:right w:val="single" w:color="auto" w:sz="4" w:space="0"/>
                  </w:tcBorders>
                  <w:noWrap w:val="0"/>
                  <w:vAlign w:val="center"/>
                </w:tcPr>
                <w:p w14:paraId="003F6FF5">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b/>
                      <w:bCs w:val="0"/>
                      <w:color w:val="auto"/>
                      <w:kern w:val="2"/>
                      <w:sz w:val="21"/>
                      <w:szCs w:val="21"/>
                      <w:highlight w:val="none"/>
                    </w:rPr>
                  </w:pPr>
                  <w:r>
                    <w:rPr>
                      <w:rFonts w:hint="default" w:ascii="Times New Roman" w:hAnsi="Times New Roman" w:eastAsia="宋体" w:cs="Times New Roman"/>
                      <w:b/>
                      <w:bCs w:val="0"/>
                      <w:color w:val="auto"/>
                      <w:kern w:val="2"/>
                      <w:sz w:val="21"/>
                      <w:szCs w:val="21"/>
                      <w:highlight w:val="none"/>
                      <w:lang w:val="en-US" w:eastAsia="zh-CN" w:bidi="ar"/>
                    </w:rPr>
                    <w:t>固废名称</w:t>
                  </w:r>
                </w:p>
              </w:tc>
              <w:tc>
                <w:tcPr>
                  <w:tcW w:w="1480" w:type="dxa"/>
                  <w:tcBorders>
                    <w:top w:val="single" w:color="auto" w:sz="8" w:space="0"/>
                    <w:left w:val="nil"/>
                    <w:bottom w:val="single" w:color="auto" w:sz="4" w:space="0"/>
                    <w:right w:val="single" w:color="auto" w:sz="4" w:space="0"/>
                  </w:tcBorders>
                  <w:noWrap w:val="0"/>
                  <w:vAlign w:val="center"/>
                </w:tcPr>
                <w:p w14:paraId="767D19B5">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b/>
                      <w:bCs w:val="0"/>
                      <w:color w:val="auto"/>
                      <w:kern w:val="2"/>
                      <w:sz w:val="21"/>
                      <w:szCs w:val="21"/>
                      <w:highlight w:val="none"/>
                      <w:lang w:val="en-US"/>
                    </w:rPr>
                  </w:pPr>
                  <w:r>
                    <w:rPr>
                      <w:rFonts w:hint="eastAsia" w:ascii="Times New Roman" w:hAnsi="Times New Roman" w:eastAsia="宋体" w:cs="Times New Roman"/>
                      <w:b/>
                      <w:bCs w:val="0"/>
                      <w:color w:val="auto"/>
                      <w:kern w:val="2"/>
                      <w:sz w:val="21"/>
                      <w:szCs w:val="21"/>
                      <w:highlight w:val="none"/>
                      <w:lang w:val="en-US" w:eastAsia="zh-CN" w:bidi="ar"/>
                    </w:rPr>
                    <w:t>代码</w:t>
                  </w:r>
                </w:p>
              </w:tc>
              <w:tc>
                <w:tcPr>
                  <w:tcW w:w="471" w:type="dxa"/>
                  <w:tcBorders>
                    <w:top w:val="single" w:color="auto" w:sz="8" w:space="0"/>
                    <w:left w:val="nil"/>
                    <w:bottom w:val="single" w:color="auto" w:sz="4" w:space="0"/>
                    <w:right w:val="single" w:color="auto" w:sz="4" w:space="0"/>
                  </w:tcBorders>
                  <w:noWrap w:val="0"/>
                  <w:vAlign w:val="center"/>
                </w:tcPr>
                <w:p w14:paraId="69BA8B7A">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b/>
                      <w:bCs w:val="0"/>
                      <w:color w:val="auto"/>
                      <w:kern w:val="2"/>
                      <w:sz w:val="21"/>
                      <w:szCs w:val="21"/>
                      <w:highlight w:val="none"/>
                    </w:rPr>
                  </w:pPr>
                  <w:r>
                    <w:rPr>
                      <w:rFonts w:hint="default" w:ascii="Times New Roman" w:hAnsi="Times New Roman" w:eastAsia="宋体" w:cs="Times New Roman"/>
                      <w:b/>
                      <w:bCs w:val="0"/>
                      <w:color w:val="auto"/>
                      <w:kern w:val="2"/>
                      <w:sz w:val="21"/>
                      <w:szCs w:val="21"/>
                      <w:highlight w:val="none"/>
                      <w:lang w:val="en-US" w:eastAsia="zh-CN" w:bidi="ar"/>
                    </w:rPr>
                    <w:t>物理性状</w:t>
                  </w:r>
                </w:p>
              </w:tc>
              <w:tc>
                <w:tcPr>
                  <w:tcW w:w="595" w:type="dxa"/>
                  <w:tcBorders>
                    <w:top w:val="single" w:color="auto" w:sz="8" w:space="0"/>
                    <w:left w:val="nil"/>
                    <w:bottom w:val="single" w:color="auto" w:sz="4" w:space="0"/>
                    <w:right w:val="single" w:color="auto" w:sz="4" w:space="0"/>
                  </w:tcBorders>
                  <w:noWrap w:val="0"/>
                  <w:vAlign w:val="center"/>
                </w:tcPr>
                <w:p w14:paraId="08734BE1">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b/>
                      <w:bCs w:val="0"/>
                      <w:color w:val="auto"/>
                      <w:kern w:val="2"/>
                      <w:sz w:val="21"/>
                      <w:szCs w:val="21"/>
                      <w:highlight w:val="none"/>
                    </w:rPr>
                  </w:pPr>
                  <w:r>
                    <w:rPr>
                      <w:rFonts w:hint="default" w:ascii="Times New Roman" w:hAnsi="Times New Roman" w:eastAsia="宋体" w:cs="Times New Roman"/>
                      <w:b/>
                      <w:bCs w:val="0"/>
                      <w:color w:val="auto"/>
                      <w:kern w:val="2"/>
                      <w:sz w:val="21"/>
                      <w:szCs w:val="21"/>
                      <w:highlight w:val="none"/>
                      <w:lang w:val="en-US" w:eastAsia="zh-CN" w:bidi="ar"/>
                    </w:rPr>
                    <w:t>环境危险特性</w:t>
                  </w:r>
                </w:p>
              </w:tc>
              <w:tc>
                <w:tcPr>
                  <w:tcW w:w="838" w:type="dxa"/>
                  <w:tcBorders>
                    <w:top w:val="single" w:color="auto" w:sz="8" w:space="0"/>
                    <w:left w:val="nil"/>
                    <w:bottom w:val="single" w:color="auto" w:sz="4" w:space="0"/>
                    <w:right w:val="single" w:color="auto" w:sz="4" w:space="0"/>
                  </w:tcBorders>
                  <w:noWrap w:val="0"/>
                  <w:vAlign w:val="center"/>
                </w:tcPr>
                <w:p w14:paraId="32B13EB4">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b/>
                      <w:bCs w:val="0"/>
                      <w:color w:val="auto"/>
                      <w:kern w:val="2"/>
                      <w:sz w:val="21"/>
                      <w:szCs w:val="21"/>
                      <w:highlight w:val="none"/>
                    </w:rPr>
                  </w:pPr>
                  <w:r>
                    <w:rPr>
                      <w:rFonts w:hint="default" w:ascii="Times New Roman" w:hAnsi="Times New Roman" w:eastAsia="宋体" w:cs="Times New Roman"/>
                      <w:b/>
                      <w:bCs w:val="0"/>
                      <w:color w:val="auto"/>
                      <w:kern w:val="2"/>
                      <w:sz w:val="21"/>
                      <w:szCs w:val="21"/>
                      <w:highlight w:val="none"/>
                      <w:lang w:val="en-US" w:eastAsia="zh-CN" w:bidi="ar"/>
                    </w:rPr>
                    <w:t>产生量（t/a）</w:t>
                  </w:r>
                </w:p>
              </w:tc>
              <w:tc>
                <w:tcPr>
                  <w:tcW w:w="787" w:type="dxa"/>
                  <w:tcBorders>
                    <w:top w:val="single" w:color="auto" w:sz="8" w:space="0"/>
                    <w:left w:val="nil"/>
                    <w:bottom w:val="single" w:color="auto" w:sz="4" w:space="0"/>
                    <w:right w:val="single" w:color="auto" w:sz="4" w:space="0"/>
                  </w:tcBorders>
                  <w:noWrap w:val="0"/>
                  <w:vAlign w:val="center"/>
                </w:tcPr>
                <w:p w14:paraId="6E5BDC4B">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b/>
                      <w:bCs w:val="0"/>
                      <w:color w:val="auto"/>
                      <w:kern w:val="2"/>
                      <w:sz w:val="21"/>
                      <w:szCs w:val="21"/>
                      <w:highlight w:val="none"/>
                    </w:rPr>
                  </w:pPr>
                  <w:r>
                    <w:rPr>
                      <w:rFonts w:hint="default" w:ascii="Times New Roman" w:hAnsi="Times New Roman" w:eastAsia="宋体" w:cs="Times New Roman"/>
                      <w:b/>
                      <w:bCs w:val="0"/>
                      <w:color w:val="auto"/>
                      <w:kern w:val="2"/>
                      <w:sz w:val="21"/>
                      <w:szCs w:val="21"/>
                      <w:highlight w:val="none"/>
                      <w:lang w:val="en-US" w:eastAsia="zh-CN" w:bidi="ar"/>
                    </w:rPr>
                    <w:t>贮存方式</w:t>
                  </w:r>
                </w:p>
              </w:tc>
              <w:tc>
                <w:tcPr>
                  <w:tcW w:w="725" w:type="dxa"/>
                  <w:tcBorders>
                    <w:top w:val="single" w:color="auto" w:sz="8" w:space="0"/>
                    <w:left w:val="nil"/>
                    <w:bottom w:val="single" w:color="auto" w:sz="4" w:space="0"/>
                    <w:right w:val="single" w:color="auto" w:sz="4" w:space="0"/>
                  </w:tcBorders>
                  <w:noWrap w:val="0"/>
                  <w:vAlign w:val="center"/>
                </w:tcPr>
                <w:p w14:paraId="26A220B2">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b/>
                      <w:bCs w:val="0"/>
                      <w:color w:val="auto"/>
                      <w:kern w:val="2"/>
                      <w:sz w:val="21"/>
                      <w:szCs w:val="21"/>
                      <w:highlight w:val="none"/>
                    </w:rPr>
                  </w:pPr>
                  <w:r>
                    <w:rPr>
                      <w:rFonts w:hint="default" w:ascii="Times New Roman" w:hAnsi="Times New Roman" w:eastAsia="宋体" w:cs="Times New Roman"/>
                      <w:b/>
                      <w:bCs w:val="0"/>
                      <w:color w:val="auto"/>
                      <w:kern w:val="2"/>
                      <w:sz w:val="21"/>
                      <w:szCs w:val="21"/>
                      <w:highlight w:val="none"/>
                      <w:lang w:val="en-US" w:eastAsia="zh-CN" w:bidi="ar"/>
                    </w:rPr>
                    <w:t>利用处置方式和去向</w:t>
                  </w:r>
                </w:p>
              </w:tc>
              <w:tc>
                <w:tcPr>
                  <w:tcW w:w="697" w:type="dxa"/>
                  <w:tcBorders>
                    <w:top w:val="single" w:color="auto" w:sz="8" w:space="0"/>
                    <w:left w:val="nil"/>
                    <w:bottom w:val="single" w:color="auto" w:sz="4" w:space="0"/>
                    <w:right w:val="single" w:color="auto" w:sz="4" w:space="0"/>
                  </w:tcBorders>
                  <w:noWrap w:val="0"/>
                  <w:vAlign w:val="center"/>
                </w:tcPr>
                <w:p w14:paraId="333AF78E">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b/>
                      <w:bCs w:val="0"/>
                      <w:color w:val="auto"/>
                      <w:kern w:val="2"/>
                      <w:sz w:val="21"/>
                      <w:szCs w:val="21"/>
                      <w:highlight w:val="none"/>
                    </w:rPr>
                  </w:pPr>
                  <w:r>
                    <w:rPr>
                      <w:rFonts w:hint="default" w:ascii="Times New Roman" w:hAnsi="Times New Roman" w:eastAsia="宋体" w:cs="Times New Roman"/>
                      <w:b/>
                      <w:bCs w:val="0"/>
                      <w:color w:val="auto"/>
                      <w:kern w:val="2"/>
                      <w:sz w:val="21"/>
                      <w:szCs w:val="21"/>
                      <w:highlight w:val="none"/>
                      <w:lang w:val="en-US" w:eastAsia="zh-CN" w:bidi="ar"/>
                    </w:rPr>
                    <w:t>利用或处置量（t/a）</w:t>
                  </w:r>
                </w:p>
              </w:tc>
            </w:tr>
            <w:tr w14:paraId="3B152B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45" w:hRule="atLeast"/>
                <w:jc w:val="center"/>
              </w:trPr>
              <w:tc>
                <w:tcPr>
                  <w:tcW w:w="378" w:type="dxa"/>
                  <w:tcBorders>
                    <w:top w:val="single" w:color="auto" w:sz="4" w:space="0"/>
                    <w:left w:val="single" w:color="auto" w:sz="8" w:space="0"/>
                    <w:bottom w:val="single" w:color="auto" w:sz="4" w:space="0"/>
                    <w:right w:val="single" w:color="auto" w:sz="4" w:space="0"/>
                  </w:tcBorders>
                  <w:noWrap w:val="0"/>
                  <w:vAlign w:val="center"/>
                </w:tcPr>
                <w:p w14:paraId="184692F4">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1</w:t>
                  </w:r>
                </w:p>
              </w:tc>
              <w:tc>
                <w:tcPr>
                  <w:tcW w:w="847" w:type="dxa"/>
                  <w:tcBorders>
                    <w:top w:val="single" w:color="auto" w:sz="4" w:space="0"/>
                    <w:left w:val="nil"/>
                    <w:bottom w:val="single" w:color="auto" w:sz="4" w:space="0"/>
                    <w:right w:val="single" w:color="auto" w:sz="4" w:space="0"/>
                  </w:tcBorders>
                  <w:noWrap w:val="0"/>
                  <w:vAlign w:val="center"/>
                </w:tcPr>
                <w:p w14:paraId="06B767D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员工</w:t>
                  </w:r>
                </w:p>
                <w:p w14:paraId="5D782E0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办公</w:t>
                  </w:r>
                </w:p>
              </w:tc>
              <w:tc>
                <w:tcPr>
                  <w:tcW w:w="982" w:type="dxa"/>
                  <w:tcBorders>
                    <w:top w:val="single" w:color="auto" w:sz="4" w:space="0"/>
                    <w:left w:val="nil"/>
                    <w:bottom w:val="single" w:color="auto" w:sz="4" w:space="0"/>
                    <w:right w:val="single" w:color="auto" w:sz="4" w:space="0"/>
                  </w:tcBorders>
                  <w:noWrap w:val="0"/>
                  <w:vAlign w:val="center"/>
                </w:tcPr>
                <w:p w14:paraId="14B5A17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auto"/>
                      <w:kern w:val="2"/>
                      <w:sz w:val="21"/>
                      <w:szCs w:val="21"/>
                      <w:highlight w:val="none"/>
                      <w:lang w:val="en-US" w:eastAsia="zh-CN" w:bidi="ar"/>
                    </w:rPr>
                  </w:pPr>
                  <w:r>
                    <w:rPr>
                      <w:rFonts w:hint="default" w:ascii="Times New Roman" w:hAnsi="Times New Roman" w:eastAsia="宋体" w:cs="Times New Roman"/>
                      <w:b w:val="0"/>
                      <w:bCs w:val="0"/>
                      <w:color w:val="auto"/>
                      <w:kern w:val="2"/>
                      <w:sz w:val="21"/>
                      <w:szCs w:val="21"/>
                      <w:highlight w:val="none"/>
                      <w:lang w:val="en-US" w:eastAsia="zh-CN" w:bidi="ar"/>
                    </w:rPr>
                    <w:t>生活</w:t>
                  </w:r>
                </w:p>
                <w:p w14:paraId="1B4E088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b w:val="0"/>
                      <w:bCs w:val="0"/>
                      <w:color w:val="auto"/>
                      <w:kern w:val="2"/>
                      <w:sz w:val="21"/>
                      <w:szCs w:val="21"/>
                      <w:highlight w:val="none"/>
                      <w:lang w:val="en-US" w:eastAsia="zh-CN" w:bidi="ar"/>
                    </w:rPr>
                    <w:t>垃圾</w:t>
                  </w:r>
                </w:p>
              </w:tc>
              <w:tc>
                <w:tcPr>
                  <w:tcW w:w="1480" w:type="dxa"/>
                  <w:tcBorders>
                    <w:top w:val="single" w:color="auto" w:sz="4" w:space="0"/>
                    <w:left w:val="nil"/>
                    <w:bottom w:val="single" w:color="auto" w:sz="4" w:space="0"/>
                    <w:right w:val="single" w:color="auto" w:sz="4" w:space="0"/>
                  </w:tcBorders>
                  <w:noWrap w:val="0"/>
                  <w:vAlign w:val="center"/>
                </w:tcPr>
                <w:p w14:paraId="6BAC1F56">
                  <w:pPr>
                    <w:keepNext w:val="0"/>
                    <w:keepLines w:val="0"/>
                    <w:widowControl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生活垃圾</w:t>
                  </w:r>
                </w:p>
              </w:tc>
              <w:tc>
                <w:tcPr>
                  <w:tcW w:w="471" w:type="dxa"/>
                  <w:tcBorders>
                    <w:top w:val="single" w:color="auto" w:sz="4" w:space="0"/>
                    <w:left w:val="nil"/>
                    <w:bottom w:val="single" w:color="auto" w:sz="4" w:space="0"/>
                    <w:right w:val="single" w:color="auto" w:sz="4" w:space="0"/>
                  </w:tcBorders>
                  <w:noWrap w:val="0"/>
                  <w:vAlign w:val="center"/>
                </w:tcPr>
                <w:p w14:paraId="6F692A09">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固态</w:t>
                  </w:r>
                </w:p>
              </w:tc>
              <w:tc>
                <w:tcPr>
                  <w:tcW w:w="595" w:type="dxa"/>
                  <w:tcBorders>
                    <w:top w:val="single" w:color="auto" w:sz="4" w:space="0"/>
                    <w:left w:val="nil"/>
                    <w:bottom w:val="single" w:color="auto" w:sz="4" w:space="0"/>
                    <w:right w:val="single" w:color="auto" w:sz="4" w:space="0"/>
                  </w:tcBorders>
                  <w:noWrap w:val="0"/>
                  <w:vAlign w:val="center"/>
                </w:tcPr>
                <w:p w14:paraId="76752F76">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w:t>
                  </w:r>
                </w:p>
              </w:tc>
              <w:tc>
                <w:tcPr>
                  <w:tcW w:w="838" w:type="dxa"/>
                  <w:tcBorders>
                    <w:top w:val="single" w:color="auto" w:sz="4" w:space="0"/>
                    <w:left w:val="nil"/>
                    <w:bottom w:val="single" w:color="auto" w:sz="4" w:space="0"/>
                    <w:right w:val="single" w:color="auto" w:sz="4" w:space="0"/>
                  </w:tcBorders>
                  <w:noWrap w:val="0"/>
                  <w:vAlign w:val="center"/>
                </w:tcPr>
                <w:p w14:paraId="5774675C">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b w:val="0"/>
                      <w:bCs w:val="0"/>
                      <w:color w:val="auto"/>
                      <w:kern w:val="2"/>
                      <w:sz w:val="21"/>
                      <w:szCs w:val="21"/>
                      <w:highlight w:val="none"/>
                      <w:lang w:val="en-US" w:eastAsia="zh-CN" w:bidi="ar"/>
                    </w:rPr>
                    <w:t>3</w:t>
                  </w:r>
                </w:p>
              </w:tc>
              <w:tc>
                <w:tcPr>
                  <w:tcW w:w="787" w:type="dxa"/>
                  <w:tcBorders>
                    <w:top w:val="single" w:color="auto" w:sz="4" w:space="0"/>
                    <w:left w:val="nil"/>
                    <w:bottom w:val="single" w:color="auto" w:sz="4" w:space="0"/>
                    <w:right w:val="single" w:color="auto" w:sz="4" w:space="0"/>
                  </w:tcBorders>
                  <w:noWrap w:val="0"/>
                  <w:vAlign w:val="center"/>
                </w:tcPr>
                <w:p w14:paraId="174FFC91">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垃圾桶收集，每日清运</w:t>
                  </w:r>
                </w:p>
              </w:tc>
              <w:tc>
                <w:tcPr>
                  <w:tcW w:w="725" w:type="dxa"/>
                  <w:tcBorders>
                    <w:top w:val="single" w:color="auto" w:sz="4" w:space="0"/>
                    <w:left w:val="nil"/>
                    <w:bottom w:val="single" w:color="auto" w:sz="4" w:space="0"/>
                    <w:right w:val="single" w:color="auto" w:sz="4" w:space="0"/>
                  </w:tcBorders>
                  <w:noWrap w:val="0"/>
                  <w:vAlign w:val="center"/>
                </w:tcPr>
                <w:p w14:paraId="375F0D72">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统一由环卫部门清理</w:t>
                  </w:r>
                </w:p>
              </w:tc>
              <w:tc>
                <w:tcPr>
                  <w:tcW w:w="697" w:type="dxa"/>
                  <w:tcBorders>
                    <w:top w:val="single" w:color="auto" w:sz="4" w:space="0"/>
                    <w:left w:val="nil"/>
                    <w:bottom w:val="single" w:color="auto" w:sz="4" w:space="0"/>
                    <w:right w:val="single" w:color="auto" w:sz="4" w:space="0"/>
                  </w:tcBorders>
                  <w:noWrap w:val="0"/>
                  <w:vAlign w:val="center"/>
                </w:tcPr>
                <w:p w14:paraId="6BA529F2">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kern w:val="2"/>
                      <w:sz w:val="21"/>
                      <w:szCs w:val="21"/>
                      <w:highlight w:val="none"/>
                    </w:rPr>
                  </w:pPr>
                  <w:r>
                    <w:rPr>
                      <w:rFonts w:hint="default" w:ascii="Times New Roman" w:hAnsi="Times New Roman" w:eastAsia="宋体" w:cs="Times New Roman"/>
                      <w:b w:val="0"/>
                      <w:bCs w:val="0"/>
                      <w:color w:val="auto"/>
                      <w:kern w:val="2"/>
                      <w:sz w:val="21"/>
                      <w:szCs w:val="21"/>
                      <w:highlight w:val="none"/>
                      <w:lang w:val="en-US" w:eastAsia="zh-CN" w:bidi="ar"/>
                    </w:rPr>
                    <w:t>3</w:t>
                  </w:r>
                </w:p>
              </w:tc>
            </w:tr>
            <w:tr w14:paraId="384215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378" w:type="dxa"/>
                  <w:tcBorders>
                    <w:top w:val="single" w:color="auto" w:sz="4" w:space="0"/>
                    <w:left w:val="single" w:color="auto" w:sz="8" w:space="0"/>
                    <w:bottom w:val="single" w:color="auto" w:sz="4" w:space="0"/>
                    <w:right w:val="single" w:color="auto" w:sz="4" w:space="0"/>
                  </w:tcBorders>
                  <w:noWrap w:val="0"/>
                  <w:vAlign w:val="center"/>
                </w:tcPr>
                <w:p w14:paraId="7E615DAE">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2</w:t>
                  </w:r>
                </w:p>
              </w:tc>
              <w:tc>
                <w:tcPr>
                  <w:tcW w:w="847" w:type="dxa"/>
                  <w:tcBorders>
                    <w:top w:val="single" w:color="auto" w:sz="4" w:space="0"/>
                    <w:left w:val="nil"/>
                    <w:bottom w:val="single" w:color="auto" w:sz="4" w:space="0"/>
                    <w:right w:val="single" w:color="auto" w:sz="4" w:space="0"/>
                  </w:tcBorders>
                  <w:noWrap w:val="0"/>
                  <w:vAlign w:val="center"/>
                </w:tcPr>
                <w:p w14:paraId="2DBF755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szCs w:val="21"/>
                      <w:highlight w:val="none"/>
                      <w:lang w:val="en-US" w:eastAsia="zh-CN"/>
                    </w:rPr>
                    <w:t>模切、开槽等</w:t>
                  </w:r>
                </w:p>
              </w:tc>
              <w:tc>
                <w:tcPr>
                  <w:tcW w:w="982" w:type="dxa"/>
                  <w:tcBorders>
                    <w:top w:val="single" w:color="auto" w:sz="4" w:space="0"/>
                    <w:left w:val="nil"/>
                    <w:bottom w:val="single" w:color="auto" w:sz="4" w:space="0"/>
                    <w:right w:val="single" w:color="auto" w:sz="4" w:space="0"/>
                  </w:tcBorders>
                  <w:noWrap w:val="0"/>
                  <w:vAlign w:val="center"/>
                </w:tcPr>
                <w:p w14:paraId="48BFE95A">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纸板边角料</w:t>
                  </w:r>
                </w:p>
              </w:tc>
              <w:tc>
                <w:tcPr>
                  <w:tcW w:w="1480" w:type="dxa"/>
                  <w:tcBorders>
                    <w:top w:val="single" w:color="auto" w:sz="4" w:space="0"/>
                    <w:left w:val="nil"/>
                    <w:bottom w:val="single" w:color="auto" w:sz="4" w:space="0"/>
                    <w:right w:val="single" w:color="auto" w:sz="4" w:space="0"/>
                  </w:tcBorders>
                  <w:noWrap w:val="0"/>
                  <w:vAlign w:val="center"/>
                </w:tcPr>
                <w:p w14:paraId="42513284">
                  <w:pPr>
                    <w:keepNext w:val="0"/>
                    <w:keepLines w:val="0"/>
                    <w:widowControl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SW17可再生类废物废物900-005-S17</w:t>
                  </w:r>
                </w:p>
              </w:tc>
              <w:tc>
                <w:tcPr>
                  <w:tcW w:w="471" w:type="dxa"/>
                  <w:tcBorders>
                    <w:top w:val="single" w:color="auto" w:sz="4" w:space="0"/>
                    <w:left w:val="nil"/>
                    <w:bottom w:val="single" w:color="auto" w:sz="4" w:space="0"/>
                    <w:right w:val="single" w:color="auto" w:sz="4" w:space="0"/>
                  </w:tcBorders>
                  <w:noWrap w:val="0"/>
                  <w:vAlign w:val="center"/>
                </w:tcPr>
                <w:p w14:paraId="40E563C9">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固态</w:t>
                  </w:r>
                </w:p>
              </w:tc>
              <w:tc>
                <w:tcPr>
                  <w:tcW w:w="595" w:type="dxa"/>
                  <w:tcBorders>
                    <w:top w:val="single" w:color="auto" w:sz="4" w:space="0"/>
                    <w:left w:val="nil"/>
                    <w:bottom w:val="single" w:color="auto" w:sz="4" w:space="0"/>
                    <w:right w:val="single" w:color="auto" w:sz="4" w:space="0"/>
                  </w:tcBorders>
                  <w:noWrap w:val="0"/>
                  <w:vAlign w:val="center"/>
                </w:tcPr>
                <w:p w14:paraId="74A456EE">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w:t>
                  </w:r>
                </w:p>
              </w:tc>
              <w:tc>
                <w:tcPr>
                  <w:tcW w:w="838" w:type="dxa"/>
                  <w:tcBorders>
                    <w:top w:val="single" w:color="auto" w:sz="4" w:space="0"/>
                    <w:left w:val="nil"/>
                    <w:bottom w:val="single" w:color="auto" w:sz="4" w:space="0"/>
                    <w:right w:val="single" w:color="auto" w:sz="4" w:space="0"/>
                  </w:tcBorders>
                  <w:noWrap w:val="0"/>
                  <w:vAlign w:val="center"/>
                </w:tcPr>
                <w:p w14:paraId="407A01CB">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rPr>
                  </w:pPr>
                  <w:r>
                    <w:rPr>
                      <w:rFonts w:hint="eastAsia" w:ascii="Times New Roman" w:hAnsi="Times New Roman" w:eastAsia="宋体" w:cs="Times New Roman"/>
                      <w:color w:val="auto"/>
                      <w:kern w:val="2"/>
                      <w:sz w:val="21"/>
                      <w:szCs w:val="21"/>
                      <w:highlight w:val="none"/>
                      <w:lang w:val="en-US" w:eastAsia="zh-CN" w:bidi="ar"/>
                    </w:rPr>
                    <w:t>5</w:t>
                  </w:r>
                </w:p>
              </w:tc>
              <w:tc>
                <w:tcPr>
                  <w:tcW w:w="787" w:type="dxa"/>
                  <w:vMerge w:val="restart"/>
                  <w:tcBorders>
                    <w:top w:val="single" w:color="auto" w:sz="4" w:space="0"/>
                    <w:left w:val="nil"/>
                    <w:right w:val="single" w:color="auto" w:sz="4" w:space="0"/>
                  </w:tcBorders>
                  <w:noWrap w:val="0"/>
                  <w:vAlign w:val="center"/>
                </w:tcPr>
                <w:p w14:paraId="353BD0E1">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分类收集，暂存在一般工业固废暂存间</w:t>
                  </w:r>
                </w:p>
              </w:tc>
              <w:tc>
                <w:tcPr>
                  <w:tcW w:w="725" w:type="dxa"/>
                  <w:vMerge w:val="restart"/>
                  <w:tcBorders>
                    <w:top w:val="single" w:color="auto" w:sz="4" w:space="0"/>
                    <w:left w:val="nil"/>
                    <w:right w:val="single" w:color="auto" w:sz="4" w:space="0"/>
                  </w:tcBorders>
                  <w:noWrap w:val="0"/>
                  <w:vAlign w:val="center"/>
                </w:tcPr>
                <w:p w14:paraId="3C7B92EF">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b w:val="0"/>
                      <w:bCs w:val="0"/>
                      <w:color w:val="auto"/>
                      <w:kern w:val="2"/>
                      <w:sz w:val="21"/>
                      <w:szCs w:val="21"/>
                      <w:highlight w:val="none"/>
                      <w:lang w:val="en-US" w:eastAsia="zh-CN" w:bidi="ar"/>
                    </w:rPr>
                    <w:t>交由专业回收公司回收处理</w:t>
                  </w:r>
                </w:p>
              </w:tc>
              <w:tc>
                <w:tcPr>
                  <w:tcW w:w="697" w:type="dxa"/>
                  <w:tcBorders>
                    <w:top w:val="single" w:color="auto" w:sz="4" w:space="0"/>
                    <w:left w:val="nil"/>
                    <w:bottom w:val="single" w:color="auto" w:sz="4" w:space="0"/>
                    <w:right w:val="single" w:color="auto" w:sz="4" w:space="0"/>
                  </w:tcBorders>
                  <w:noWrap w:val="0"/>
                  <w:vAlign w:val="center"/>
                </w:tcPr>
                <w:p w14:paraId="660344E7">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kern w:val="2"/>
                      <w:sz w:val="21"/>
                      <w:szCs w:val="21"/>
                      <w:highlight w:val="none"/>
                      <w:lang w:val="en-US"/>
                    </w:rPr>
                  </w:pPr>
                  <w:r>
                    <w:rPr>
                      <w:rFonts w:hint="eastAsia" w:ascii="Times New Roman" w:hAnsi="Times New Roman" w:eastAsia="宋体" w:cs="Times New Roman"/>
                      <w:b w:val="0"/>
                      <w:bCs w:val="0"/>
                      <w:color w:val="auto"/>
                      <w:kern w:val="2"/>
                      <w:sz w:val="21"/>
                      <w:szCs w:val="21"/>
                      <w:highlight w:val="none"/>
                      <w:lang w:val="en-US" w:eastAsia="zh-CN" w:bidi="ar"/>
                    </w:rPr>
                    <w:t>5</w:t>
                  </w:r>
                </w:p>
              </w:tc>
            </w:tr>
            <w:tr w14:paraId="16A7D7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378" w:type="dxa"/>
                  <w:tcBorders>
                    <w:top w:val="single" w:color="auto" w:sz="4" w:space="0"/>
                    <w:left w:val="single" w:color="auto" w:sz="8" w:space="0"/>
                    <w:bottom w:val="single" w:color="auto" w:sz="4" w:space="0"/>
                    <w:right w:val="single" w:color="auto" w:sz="4" w:space="0"/>
                  </w:tcBorders>
                  <w:noWrap w:val="0"/>
                  <w:vAlign w:val="center"/>
                </w:tcPr>
                <w:p w14:paraId="15FACD7A">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3</w:t>
                  </w:r>
                </w:p>
              </w:tc>
              <w:tc>
                <w:tcPr>
                  <w:tcW w:w="847" w:type="dxa"/>
                  <w:vMerge w:val="restart"/>
                  <w:tcBorders>
                    <w:top w:val="single" w:color="auto" w:sz="4" w:space="0"/>
                    <w:left w:val="nil"/>
                    <w:right w:val="single" w:color="auto" w:sz="4" w:space="0"/>
                  </w:tcBorders>
                  <w:noWrap w:val="0"/>
                  <w:vAlign w:val="center"/>
                </w:tcPr>
                <w:p w14:paraId="47346A7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rPr>
                  </w:pPr>
                  <w:r>
                    <w:rPr>
                      <w:rFonts w:hint="eastAsia" w:ascii="Times New Roman" w:hAnsi="Times New Roman" w:eastAsia="宋体" w:cs="Times New Roman"/>
                      <w:color w:val="auto"/>
                      <w:kern w:val="2"/>
                      <w:sz w:val="21"/>
                      <w:szCs w:val="21"/>
                      <w:highlight w:val="none"/>
                      <w:lang w:val="en-US" w:eastAsia="zh-CN" w:bidi="ar"/>
                    </w:rPr>
                    <w:t>原料使用</w:t>
                  </w:r>
                </w:p>
              </w:tc>
              <w:tc>
                <w:tcPr>
                  <w:tcW w:w="982" w:type="dxa"/>
                  <w:tcBorders>
                    <w:top w:val="single" w:color="auto" w:sz="4" w:space="0"/>
                    <w:left w:val="nil"/>
                    <w:bottom w:val="single" w:color="auto" w:sz="4" w:space="0"/>
                    <w:right w:val="single" w:color="auto" w:sz="4" w:space="0"/>
                  </w:tcBorders>
                  <w:noWrap w:val="0"/>
                  <w:vAlign w:val="center"/>
                </w:tcPr>
                <w:p w14:paraId="5A560C91">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废胶水桶</w:t>
                  </w:r>
                </w:p>
              </w:tc>
              <w:tc>
                <w:tcPr>
                  <w:tcW w:w="1480" w:type="dxa"/>
                  <w:tcBorders>
                    <w:top w:val="single" w:color="auto" w:sz="4" w:space="0"/>
                    <w:left w:val="nil"/>
                    <w:bottom w:val="single" w:color="auto" w:sz="4" w:space="0"/>
                    <w:right w:val="single" w:color="auto" w:sz="4" w:space="0"/>
                  </w:tcBorders>
                  <w:noWrap w:val="0"/>
                  <w:vAlign w:val="center"/>
                </w:tcPr>
                <w:p w14:paraId="04AEB2CA">
                  <w:pPr>
                    <w:keepNext w:val="0"/>
                    <w:keepLines w:val="0"/>
                    <w:widowControl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SW15造纸印刷业废物</w:t>
                  </w:r>
                </w:p>
                <w:p w14:paraId="3BA97C46">
                  <w:pPr>
                    <w:keepNext w:val="0"/>
                    <w:keepLines w:val="0"/>
                    <w:widowControl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900-099-S1</w:t>
                  </w:r>
                  <w:r>
                    <w:rPr>
                      <w:rFonts w:hint="eastAsia" w:ascii="Times New Roman" w:hAnsi="Times New Roman" w:eastAsia="宋体" w:cs="Times New Roman"/>
                      <w:color w:val="auto"/>
                      <w:kern w:val="2"/>
                      <w:sz w:val="21"/>
                      <w:szCs w:val="21"/>
                      <w:highlight w:val="none"/>
                      <w:lang w:val="en-US" w:eastAsia="zh-CN" w:bidi="ar"/>
                    </w:rPr>
                    <w:t>5</w:t>
                  </w:r>
                </w:p>
              </w:tc>
              <w:tc>
                <w:tcPr>
                  <w:tcW w:w="471" w:type="dxa"/>
                  <w:tcBorders>
                    <w:top w:val="single" w:color="auto" w:sz="4" w:space="0"/>
                    <w:left w:val="nil"/>
                    <w:bottom w:val="single" w:color="auto" w:sz="4" w:space="0"/>
                    <w:right w:val="single" w:color="auto" w:sz="4" w:space="0"/>
                  </w:tcBorders>
                  <w:noWrap w:val="0"/>
                  <w:vAlign w:val="center"/>
                </w:tcPr>
                <w:p w14:paraId="0197FCE9">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固态</w:t>
                  </w:r>
                </w:p>
              </w:tc>
              <w:tc>
                <w:tcPr>
                  <w:tcW w:w="595" w:type="dxa"/>
                  <w:tcBorders>
                    <w:top w:val="single" w:color="auto" w:sz="4" w:space="0"/>
                    <w:left w:val="nil"/>
                    <w:bottom w:val="single" w:color="auto" w:sz="4" w:space="0"/>
                    <w:right w:val="single" w:color="auto" w:sz="4" w:space="0"/>
                  </w:tcBorders>
                  <w:noWrap w:val="0"/>
                  <w:vAlign w:val="center"/>
                </w:tcPr>
                <w:p w14:paraId="03B9B002">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w:t>
                  </w:r>
                </w:p>
              </w:tc>
              <w:tc>
                <w:tcPr>
                  <w:tcW w:w="838" w:type="dxa"/>
                  <w:tcBorders>
                    <w:top w:val="single" w:color="auto" w:sz="4" w:space="0"/>
                    <w:left w:val="nil"/>
                    <w:bottom w:val="single" w:color="auto" w:sz="4" w:space="0"/>
                    <w:right w:val="single" w:color="auto" w:sz="4" w:space="0"/>
                  </w:tcBorders>
                  <w:noWrap w:val="0"/>
                  <w:vAlign w:val="center"/>
                </w:tcPr>
                <w:p w14:paraId="539510D3">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rPr>
                  </w:pPr>
                  <w:r>
                    <w:rPr>
                      <w:rFonts w:hint="eastAsia" w:ascii="Times New Roman" w:hAnsi="Times New Roman" w:eastAsia="宋体" w:cs="Times New Roman"/>
                      <w:color w:val="auto"/>
                      <w:kern w:val="2"/>
                      <w:sz w:val="21"/>
                      <w:szCs w:val="21"/>
                      <w:highlight w:val="none"/>
                      <w:lang w:val="en-US" w:eastAsia="zh-CN" w:bidi="ar"/>
                    </w:rPr>
                    <w:t>0.0</w:t>
                  </w:r>
                  <w:r>
                    <w:rPr>
                      <w:rFonts w:hint="eastAsia" w:cs="Times New Roman"/>
                      <w:color w:val="auto"/>
                      <w:kern w:val="2"/>
                      <w:sz w:val="21"/>
                      <w:szCs w:val="21"/>
                      <w:highlight w:val="none"/>
                      <w:lang w:val="en-US" w:eastAsia="zh-CN" w:bidi="ar"/>
                    </w:rPr>
                    <w:t>12</w:t>
                  </w:r>
                </w:p>
              </w:tc>
              <w:tc>
                <w:tcPr>
                  <w:tcW w:w="787" w:type="dxa"/>
                  <w:vMerge w:val="continue"/>
                  <w:tcBorders>
                    <w:left w:val="nil"/>
                    <w:right w:val="single" w:color="auto" w:sz="4" w:space="0"/>
                  </w:tcBorders>
                  <w:noWrap w:val="0"/>
                  <w:vAlign w:val="center"/>
                </w:tcPr>
                <w:p w14:paraId="62C2FFFE">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0"/>
                      <w:szCs w:val="20"/>
                      <w:highlight w:val="none"/>
                    </w:rPr>
                  </w:pPr>
                </w:p>
              </w:tc>
              <w:tc>
                <w:tcPr>
                  <w:tcW w:w="725" w:type="dxa"/>
                  <w:vMerge w:val="continue"/>
                  <w:tcBorders>
                    <w:left w:val="nil"/>
                    <w:right w:val="single" w:color="auto" w:sz="4" w:space="0"/>
                  </w:tcBorders>
                  <w:noWrap w:val="0"/>
                  <w:vAlign w:val="center"/>
                </w:tcPr>
                <w:p w14:paraId="3CEBB180">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0"/>
                      <w:szCs w:val="20"/>
                      <w:highlight w:val="none"/>
                    </w:rPr>
                  </w:pPr>
                </w:p>
              </w:tc>
              <w:tc>
                <w:tcPr>
                  <w:tcW w:w="697" w:type="dxa"/>
                  <w:tcBorders>
                    <w:top w:val="single" w:color="auto" w:sz="4" w:space="0"/>
                    <w:left w:val="nil"/>
                    <w:bottom w:val="single" w:color="auto" w:sz="4" w:space="0"/>
                    <w:right w:val="single" w:color="auto" w:sz="4" w:space="0"/>
                  </w:tcBorders>
                  <w:noWrap w:val="0"/>
                  <w:vAlign w:val="center"/>
                </w:tcPr>
                <w:p w14:paraId="304E0A39">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rPr>
                  </w:pPr>
                  <w:r>
                    <w:rPr>
                      <w:rFonts w:hint="eastAsia" w:ascii="Times New Roman" w:hAnsi="Times New Roman" w:eastAsia="宋体" w:cs="Times New Roman"/>
                      <w:color w:val="auto"/>
                      <w:kern w:val="2"/>
                      <w:sz w:val="21"/>
                      <w:szCs w:val="21"/>
                      <w:highlight w:val="none"/>
                      <w:lang w:val="en-US" w:eastAsia="zh-CN" w:bidi="ar"/>
                    </w:rPr>
                    <w:t>0.0</w:t>
                  </w:r>
                  <w:r>
                    <w:rPr>
                      <w:rFonts w:hint="eastAsia" w:cs="Times New Roman"/>
                      <w:color w:val="auto"/>
                      <w:kern w:val="2"/>
                      <w:sz w:val="21"/>
                      <w:szCs w:val="21"/>
                      <w:highlight w:val="none"/>
                      <w:lang w:val="en-US" w:eastAsia="zh-CN" w:bidi="ar"/>
                    </w:rPr>
                    <w:t>12</w:t>
                  </w:r>
                </w:p>
              </w:tc>
            </w:tr>
            <w:tr w14:paraId="73FA26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378" w:type="dxa"/>
                  <w:tcBorders>
                    <w:top w:val="single" w:color="auto" w:sz="4" w:space="0"/>
                    <w:left w:val="single" w:color="auto" w:sz="8" w:space="0"/>
                    <w:bottom w:val="single" w:color="auto" w:sz="4" w:space="0"/>
                    <w:right w:val="single" w:color="auto" w:sz="4" w:space="0"/>
                  </w:tcBorders>
                  <w:noWrap w:val="0"/>
                  <w:vAlign w:val="center"/>
                </w:tcPr>
                <w:p w14:paraId="238E9A45">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4</w:t>
                  </w:r>
                </w:p>
              </w:tc>
              <w:tc>
                <w:tcPr>
                  <w:tcW w:w="847" w:type="dxa"/>
                  <w:vMerge w:val="continue"/>
                  <w:tcBorders>
                    <w:left w:val="nil"/>
                    <w:right w:val="single" w:color="auto" w:sz="4" w:space="0"/>
                  </w:tcBorders>
                  <w:noWrap w:val="0"/>
                  <w:vAlign w:val="center"/>
                </w:tcPr>
                <w:p w14:paraId="4E6706F9">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
                    </w:rPr>
                  </w:pPr>
                </w:p>
              </w:tc>
              <w:tc>
                <w:tcPr>
                  <w:tcW w:w="982" w:type="dxa"/>
                  <w:tcBorders>
                    <w:top w:val="single" w:color="auto" w:sz="4" w:space="0"/>
                    <w:left w:val="nil"/>
                    <w:bottom w:val="single" w:color="auto" w:sz="4" w:space="0"/>
                    <w:right w:val="single" w:color="auto" w:sz="4" w:space="0"/>
                  </w:tcBorders>
                  <w:noWrap w:val="0"/>
                  <w:vAlign w:val="center"/>
                </w:tcPr>
                <w:p w14:paraId="49AED9A3">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淀粉胶废桶</w:t>
                  </w:r>
                </w:p>
              </w:tc>
              <w:tc>
                <w:tcPr>
                  <w:tcW w:w="1480" w:type="dxa"/>
                  <w:tcBorders>
                    <w:top w:val="single" w:color="auto" w:sz="4" w:space="0"/>
                    <w:left w:val="nil"/>
                    <w:bottom w:val="single" w:color="auto" w:sz="4" w:space="0"/>
                    <w:right w:val="single" w:color="auto" w:sz="4" w:space="0"/>
                  </w:tcBorders>
                  <w:noWrap w:val="0"/>
                  <w:vAlign w:val="center"/>
                </w:tcPr>
                <w:p w14:paraId="21D9EE14">
                  <w:pPr>
                    <w:keepNext w:val="0"/>
                    <w:keepLines w:val="0"/>
                    <w:widowControl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SW15造纸印刷业废物</w:t>
                  </w:r>
                </w:p>
                <w:p w14:paraId="2B0D337F">
                  <w:pPr>
                    <w:keepNext w:val="0"/>
                    <w:keepLines w:val="0"/>
                    <w:widowControl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900-099-S1</w:t>
                  </w:r>
                  <w:r>
                    <w:rPr>
                      <w:rFonts w:hint="eastAsia" w:ascii="Times New Roman" w:hAnsi="Times New Roman" w:eastAsia="宋体" w:cs="Times New Roman"/>
                      <w:color w:val="auto"/>
                      <w:kern w:val="2"/>
                      <w:sz w:val="21"/>
                      <w:szCs w:val="21"/>
                      <w:highlight w:val="none"/>
                      <w:lang w:val="en-US" w:eastAsia="zh-CN" w:bidi="ar"/>
                    </w:rPr>
                    <w:t>5</w:t>
                  </w:r>
                </w:p>
              </w:tc>
              <w:tc>
                <w:tcPr>
                  <w:tcW w:w="471" w:type="dxa"/>
                  <w:tcBorders>
                    <w:top w:val="single" w:color="auto" w:sz="4" w:space="0"/>
                    <w:left w:val="nil"/>
                    <w:bottom w:val="single" w:color="auto" w:sz="4" w:space="0"/>
                    <w:right w:val="single" w:color="auto" w:sz="4" w:space="0"/>
                  </w:tcBorders>
                  <w:noWrap w:val="0"/>
                  <w:vAlign w:val="center"/>
                </w:tcPr>
                <w:p w14:paraId="1DD93822">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固态</w:t>
                  </w:r>
                </w:p>
              </w:tc>
              <w:tc>
                <w:tcPr>
                  <w:tcW w:w="595" w:type="dxa"/>
                  <w:tcBorders>
                    <w:top w:val="single" w:color="auto" w:sz="4" w:space="0"/>
                    <w:left w:val="nil"/>
                    <w:bottom w:val="single" w:color="auto" w:sz="4" w:space="0"/>
                    <w:right w:val="single" w:color="auto" w:sz="4" w:space="0"/>
                  </w:tcBorders>
                  <w:noWrap w:val="0"/>
                  <w:vAlign w:val="center"/>
                </w:tcPr>
                <w:p w14:paraId="50B029E7">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w:t>
                  </w:r>
                </w:p>
              </w:tc>
              <w:tc>
                <w:tcPr>
                  <w:tcW w:w="838" w:type="dxa"/>
                  <w:tcBorders>
                    <w:top w:val="single" w:color="auto" w:sz="4" w:space="0"/>
                    <w:left w:val="nil"/>
                    <w:bottom w:val="single" w:color="auto" w:sz="4" w:space="0"/>
                    <w:right w:val="single" w:color="auto" w:sz="4" w:space="0"/>
                  </w:tcBorders>
                  <w:noWrap w:val="0"/>
                  <w:vAlign w:val="center"/>
                </w:tcPr>
                <w:p w14:paraId="0BA27CB3">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0.1</w:t>
                  </w:r>
                  <w:r>
                    <w:rPr>
                      <w:rFonts w:hint="eastAsia" w:cs="Times New Roman"/>
                      <w:color w:val="auto"/>
                      <w:kern w:val="2"/>
                      <w:sz w:val="21"/>
                      <w:szCs w:val="21"/>
                      <w:highlight w:val="none"/>
                      <w:lang w:val="en-US" w:eastAsia="zh-CN" w:bidi="ar"/>
                    </w:rPr>
                    <w:t>6</w:t>
                  </w:r>
                </w:p>
              </w:tc>
              <w:tc>
                <w:tcPr>
                  <w:tcW w:w="787" w:type="dxa"/>
                  <w:vMerge w:val="continue"/>
                  <w:tcBorders>
                    <w:left w:val="nil"/>
                    <w:right w:val="single" w:color="auto" w:sz="4" w:space="0"/>
                  </w:tcBorders>
                  <w:noWrap w:val="0"/>
                  <w:vAlign w:val="center"/>
                </w:tcPr>
                <w:p w14:paraId="15CA1B1F">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0"/>
                      <w:szCs w:val="20"/>
                      <w:highlight w:val="none"/>
                    </w:rPr>
                  </w:pPr>
                </w:p>
              </w:tc>
              <w:tc>
                <w:tcPr>
                  <w:tcW w:w="725" w:type="dxa"/>
                  <w:vMerge w:val="continue"/>
                  <w:tcBorders>
                    <w:left w:val="nil"/>
                    <w:right w:val="single" w:color="auto" w:sz="4" w:space="0"/>
                  </w:tcBorders>
                  <w:noWrap w:val="0"/>
                  <w:vAlign w:val="center"/>
                </w:tcPr>
                <w:p w14:paraId="72876F2B">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0"/>
                      <w:szCs w:val="20"/>
                      <w:highlight w:val="none"/>
                    </w:rPr>
                  </w:pPr>
                </w:p>
              </w:tc>
              <w:tc>
                <w:tcPr>
                  <w:tcW w:w="697" w:type="dxa"/>
                  <w:tcBorders>
                    <w:top w:val="single" w:color="auto" w:sz="4" w:space="0"/>
                    <w:left w:val="nil"/>
                    <w:bottom w:val="single" w:color="auto" w:sz="4" w:space="0"/>
                    <w:right w:val="single" w:color="auto" w:sz="4" w:space="0"/>
                  </w:tcBorders>
                  <w:noWrap w:val="0"/>
                  <w:vAlign w:val="center"/>
                </w:tcPr>
                <w:p w14:paraId="50913CE2">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0.1</w:t>
                  </w:r>
                  <w:r>
                    <w:rPr>
                      <w:rFonts w:hint="eastAsia" w:cs="Times New Roman"/>
                      <w:color w:val="auto"/>
                      <w:kern w:val="2"/>
                      <w:sz w:val="21"/>
                      <w:szCs w:val="21"/>
                      <w:highlight w:val="none"/>
                      <w:lang w:val="en-US" w:eastAsia="zh-CN" w:bidi="ar"/>
                    </w:rPr>
                    <w:t>6</w:t>
                  </w:r>
                </w:p>
              </w:tc>
            </w:tr>
            <w:tr w14:paraId="66AC46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378" w:type="dxa"/>
                  <w:tcBorders>
                    <w:top w:val="single" w:color="auto" w:sz="4" w:space="0"/>
                    <w:left w:val="single" w:color="auto" w:sz="8" w:space="0"/>
                    <w:bottom w:val="single" w:color="auto" w:sz="4" w:space="0"/>
                    <w:right w:val="single" w:color="auto" w:sz="4" w:space="0"/>
                  </w:tcBorders>
                  <w:noWrap w:val="0"/>
                  <w:vAlign w:val="center"/>
                </w:tcPr>
                <w:p w14:paraId="59D09FC7">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5</w:t>
                  </w:r>
                </w:p>
              </w:tc>
              <w:tc>
                <w:tcPr>
                  <w:tcW w:w="847" w:type="dxa"/>
                  <w:vMerge w:val="continue"/>
                  <w:tcBorders>
                    <w:left w:val="nil"/>
                    <w:right w:val="single" w:color="auto" w:sz="4" w:space="0"/>
                  </w:tcBorders>
                  <w:noWrap w:val="0"/>
                  <w:vAlign w:val="center"/>
                </w:tcPr>
                <w:p w14:paraId="03897F48">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
                    </w:rPr>
                  </w:pPr>
                </w:p>
              </w:tc>
              <w:tc>
                <w:tcPr>
                  <w:tcW w:w="982" w:type="dxa"/>
                  <w:tcBorders>
                    <w:top w:val="single" w:color="auto" w:sz="4" w:space="0"/>
                    <w:left w:val="nil"/>
                    <w:bottom w:val="single" w:color="auto" w:sz="4" w:space="0"/>
                    <w:right w:val="single" w:color="auto" w:sz="4" w:space="0"/>
                  </w:tcBorders>
                  <w:noWrap w:val="0"/>
                  <w:vAlign w:val="center"/>
                </w:tcPr>
                <w:p w14:paraId="0F1FD788">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废PS版</w:t>
                  </w:r>
                </w:p>
              </w:tc>
              <w:tc>
                <w:tcPr>
                  <w:tcW w:w="1480" w:type="dxa"/>
                  <w:tcBorders>
                    <w:top w:val="single" w:color="auto" w:sz="4" w:space="0"/>
                    <w:left w:val="nil"/>
                    <w:bottom w:val="single" w:color="auto" w:sz="4" w:space="0"/>
                    <w:right w:val="single" w:color="auto" w:sz="4" w:space="0"/>
                  </w:tcBorders>
                  <w:noWrap w:val="0"/>
                  <w:vAlign w:val="center"/>
                </w:tcPr>
                <w:p w14:paraId="192E74D3">
                  <w:pPr>
                    <w:keepNext w:val="0"/>
                    <w:keepLines w:val="0"/>
                    <w:widowControl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SW15造纸印刷业废物</w:t>
                  </w:r>
                </w:p>
                <w:p w14:paraId="6AB8DF85">
                  <w:pPr>
                    <w:keepNext w:val="0"/>
                    <w:keepLines w:val="0"/>
                    <w:widowControl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900-099-S1</w:t>
                  </w:r>
                  <w:r>
                    <w:rPr>
                      <w:rFonts w:hint="eastAsia" w:ascii="Times New Roman" w:hAnsi="Times New Roman" w:eastAsia="宋体" w:cs="Times New Roman"/>
                      <w:color w:val="auto"/>
                      <w:kern w:val="2"/>
                      <w:sz w:val="21"/>
                      <w:szCs w:val="21"/>
                      <w:highlight w:val="none"/>
                      <w:lang w:val="en-US" w:eastAsia="zh-CN" w:bidi="ar"/>
                    </w:rPr>
                    <w:t>5</w:t>
                  </w:r>
                </w:p>
              </w:tc>
              <w:tc>
                <w:tcPr>
                  <w:tcW w:w="471" w:type="dxa"/>
                  <w:tcBorders>
                    <w:top w:val="single" w:color="auto" w:sz="4" w:space="0"/>
                    <w:left w:val="nil"/>
                    <w:bottom w:val="single" w:color="auto" w:sz="4" w:space="0"/>
                    <w:right w:val="single" w:color="auto" w:sz="4" w:space="0"/>
                  </w:tcBorders>
                  <w:noWrap w:val="0"/>
                  <w:vAlign w:val="center"/>
                </w:tcPr>
                <w:p w14:paraId="5D7FAFF8">
                  <w:pPr>
                    <w:keepNext w:val="0"/>
                    <w:keepLines w:val="0"/>
                    <w:widowControl w:val="0"/>
                    <w:suppressLineNumbers w:val="0"/>
                    <w:topLinePunct/>
                    <w:adjustRightInd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固态</w:t>
                  </w:r>
                </w:p>
              </w:tc>
              <w:tc>
                <w:tcPr>
                  <w:tcW w:w="595" w:type="dxa"/>
                  <w:tcBorders>
                    <w:top w:val="single" w:color="auto" w:sz="4" w:space="0"/>
                    <w:left w:val="nil"/>
                    <w:bottom w:val="single" w:color="auto" w:sz="4" w:space="0"/>
                    <w:right w:val="single" w:color="auto" w:sz="4" w:space="0"/>
                  </w:tcBorders>
                  <w:noWrap w:val="0"/>
                  <w:vAlign w:val="center"/>
                </w:tcPr>
                <w:p w14:paraId="793712E0">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w:t>
                  </w:r>
                </w:p>
              </w:tc>
              <w:tc>
                <w:tcPr>
                  <w:tcW w:w="838" w:type="dxa"/>
                  <w:tcBorders>
                    <w:top w:val="single" w:color="auto" w:sz="4" w:space="0"/>
                    <w:left w:val="nil"/>
                    <w:bottom w:val="single" w:color="auto" w:sz="4" w:space="0"/>
                    <w:right w:val="single" w:color="auto" w:sz="4" w:space="0"/>
                  </w:tcBorders>
                  <w:noWrap w:val="0"/>
                  <w:vAlign w:val="center"/>
                </w:tcPr>
                <w:p w14:paraId="217D3861">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0.02</w:t>
                  </w:r>
                </w:p>
              </w:tc>
              <w:tc>
                <w:tcPr>
                  <w:tcW w:w="787" w:type="dxa"/>
                  <w:vMerge w:val="continue"/>
                  <w:tcBorders>
                    <w:left w:val="nil"/>
                    <w:right w:val="single" w:color="auto" w:sz="4" w:space="0"/>
                  </w:tcBorders>
                  <w:noWrap w:val="0"/>
                  <w:vAlign w:val="center"/>
                </w:tcPr>
                <w:p w14:paraId="03C991B6">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0"/>
                      <w:szCs w:val="20"/>
                      <w:highlight w:val="none"/>
                    </w:rPr>
                  </w:pPr>
                </w:p>
              </w:tc>
              <w:tc>
                <w:tcPr>
                  <w:tcW w:w="725" w:type="dxa"/>
                  <w:vMerge w:val="continue"/>
                  <w:tcBorders>
                    <w:left w:val="nil"/>
                    <w:right w:val="single" w:color="auto" w:sz="4" w:space="0"/>
                  </w:tcBorders>
                  <w:noWrap w:val="0"/>
                  <w:vAlign w:val="center"/>
                </w:tcPr>
                <w:p w14:paraId="16272F5F">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0"/>
                      <w:szCs w:val="20"/>
                      <w:highlight w:val="none"/>
                    </w:rPr>
                  </w:pPr>
                </w:p>
              </w:tc>
              <w:tc>
                <w:tcPr>
                  <w:tcW w:w="697" w:type="dxa"/>
                  <w:tcBorders>
                    <w:top w:val="single" w:color="auto" w:sz="4" w:space="0"/>
                    <w:left w:val="nil"/>
                    <w:bottom w:val="single" w:color="auto" w:sz="4" w:space="0"/>
                    <w:right w:val="single" w:color="auto" w:sz="4" w:space="0"/>
                  </w:tcBorders>
                  <w:noWrap w:val="0"/>
                  <w:vAlign w:val="center"/>
                </w:tcPr>
                <w:p w14:paraId="619EDD08">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0.02</w:t>
                  </w:r>
                </w:p>
              </w:tc>
            </w:tr>
          </w:tbl>
          <w:p w14:paraId="5A31B8D8">
            <w:pPr>
              <w:keepNext w:val="0"/>
              <w:keepLines w:val="0"/>
              <w:suppressLineNumbers w:val="0"/>
              <w:spacing w:before="0" w:beforeAutospacing="0" w:after="0" w:afterAutospacing="0"/>
              <w:ind w:left="0" w:right="0"/>
              <w:rPr>
                <w:rFonts w:hint="default" w:ascii="Times New Roman" w:hAnsi="Times New Roman" w:cs="Times New Roman"/>
                <w:color w:val="auto"/>
                <w:highlight w:val="none"/>
                <w:vertAlign w:val="baseline"/>
              </w:rPr>
            </w:pPr>
          </w:p>
          <w:p w14:paraId="22BD9411">
            <w:pPr>
              <w:pStyle w:val="18"/>
              <w:keepNext w:val="0"/>
              <w:keepLines w:val="0"/>
              <w:suppressLineNumbers w:val="0"/>
              <w:spacing w:beforeAutospacing="0" w:afterAutospacing="0"/>
              <w:ind w:left="0"/>
              <w:rPr>
                <w:rFonts w:hint="eastAsia" w:ascii="Times New Roman" w:hAnsi="Times New Roman" w:eastAsia="宋体" w:cs="Times New Roman"/>
                <w:color w:val="auto"/>
                <w:sz w:val="24"/>
                <w:szCs w:val="24"/>
                <w:highlight w:val="none"/>
                <w:lang w:val="en-US" w:eastAsia="zh-CN"/>
              </w:rPr>
            </w:pPr>
          </w:p>
          <w:p w14:paraId="55050EB5">
            <w:pPr>
              <w:keepNext w:val="0"/>
              <w:keepLines w:val="0"/>
              <w:suppressLineNumbers w:val="0"/>
              <w:spacing w:before="0" w:beforeAutospacing="0" w:after="0" w:afterAutospacing="0"/>
              <w:ind w:left="0" w:right="0"/>
              <w:rPr>
                <w:rFonts w:hint="eastAsia" w:ascii="Times New Roman" w:hAnsi="Times New Roman" w:eastAsia="宋体" w:cs="Times New Roman"/>
                <w:color w:val="auto"/>
                <w:sz w:val="24"/>
                <w:szCs w:val="24"/>
                <w:highlight w:val="none"/>
                <w:lang w:val="en-US" w:eastAsia="zh-CN"/>
              </w:rPr>
            </w:pPr>
          </w:p>
          <w:p w14:paraId="145C9151">
            <w:pPr>
              <w:pStyle w:val="18"/>
              <w:keepNext w:val="0"/>
              <w:keepLines w:val="0"/>
              <w:suppressLineNumbers w:val="0"/>
              <w:spacing w:beforeAutospacing="0" w:afterAutospacing="0"/>
              <w:ind w:left="0"/>
              <w:rPr>
                <w:rFonts w:hint="eastAsia" w:ascii="Times New Roman" w:hAnsi="Times New Roman" w:eastAsia="宋体" w:cs="Times New Roman"/>
                <w:color w:val="auto"/>
                <w:sz w:val="24"/>
                <w:szCs w:val="24"/>
                <w:highlight w:val="none"/>
                <w:lang w:val="en-US" w:eastAsia="zh-CN"/>
              </w:rPr>
            </w:pPr>
          </w:p>
          <w:p w14:paraId="5E37F9D3">
            <w:pPr>
              <w:keepNext w:val="0"/>
              <w:keepLines w:val="0"/>
              <w:suppressLineNumbers w:val="0"/>
              <w:spacing w:before="0" w:beforeAutospacing="0" w:after="0" w:afterAutospacing="0"/>
              <w:ind w:left="0" w:right="0"/>
              <w:rPr>
                <w:rFonts w:hint="eastAsia" w:ascii="Times New Roman" w:hAnsi="Times New Roman" w:eastAsia="宋体" w:cs="Times New Roman"/>
                <w:color w:val="auto"/>
                <w:sz w:val="24"/>
                <w:szCs w:val="24"/>
                <w:highlight w:val="none"/>
                <w:lang w:val="en-US" w:eastAsia="zh-CN"/>
              </w:rPr>
            </w:pPr>
          </w:p>
          <w:p w14:paraId="674C0EFE">
            <w:pPr>
              <w:pStyle w:val="18"/>
              <w:keepNext w:val="0"/>
              <w:keepLines w:val="0"/>
              <w:suppressLineNumbers w:val="0"/>
              <w:spacing w:beforeAutospacing="0" w:afterAutospacing="0"/>
              <w:ind w:left="0"/>
              <w:rPr>
                <w:rFonts w:hint="eastAsia" w:ascii="Times New Roman" w:hAnsi="Times New Roman" w:eastAsia="宋体" w:cs="Times New Roman"/>
                <w:color w:val="auto"/>
                <w:sz w:val="24"/>
                <w:szCs w:val="24"/>
                <w:highlight w:val="none"/>
                <w:lang w:val="en-US" w:eastAsia="zh-CN"/>
              </w:rPr>
            </w:pPr>
          </w:p>
          <w:p w14:paraId="16814DD0">
            <w:pPr>
              <w:keepNext w:val="0"/>
              <w:keepLines w:val="0"/>
              <w:suppressLineNumbers w:val="0"/>
              <w:spacing w:before="0" w:beforeAutospacing="0" w:after="0" w:afterAutospacing="0"/>
              <w:ind w:left="0" w:right="0"/>
              <w:rPr>
                <w:rFonts w:hint="eastAsia" w:ascii="Times New Roman" w:hAnsi="Times New Roman" w:eastAsia="宋体" w:cs="Times New Roman"/>
                <w:color w:val="auto"/>
                <w:sz w:val="24"/>
                <w:szCs w:val="24"/>
                <w:highlight w:val="none"/>
                <w:lang w:val="en-US" w:eastAsia="zh-CN"/>
              </w:rPr>
            </w:pPr>
          </w:p>
          <w:p w14:paraId="684C4FB6">
            <w:pPr>
              <w:pStyle w:val="18"/>
              <w:keepNext w:val="0"/>
              <w:keepLines w:val="0"/>
              <w:suppressLineNumbers w:val="0"/>
              <w:spacing w:beforeAutospacing="0" w:afterAutospacing="0"/>
              <w:ind w:left="0"/>
              <w:rPr>
                <w:rFonts w:hint="eastAsia" w:ascii="Times New Roman" w:hAnsi="Times New Roman" w:eastAsia="宋体" w:cs="Times New Roman"/>
                <w:color w:val="auto"/>
                <w:sz w:val="24"/>
                <w:szCs w:val="24"/>
                <w:highlight w:val="none"/>
                <w:lang w:val="en-US" w:eastAsia="zh-CN"/>
              </w:rPr>
            </w:pPr>
          </w:p>
          <w:p w14:paraId="655E40D3">
            <w:pPr>
              <w:keepNext w:val="0"/>
              <w:keepLines w:val="0"/>
              <w:suppressLineNumbers w:val="0"/>
              <w:spacing w:before="0" w:beforeAutospacing="0" w:after="0" w:afterAutospacing="0"/>
              <w:ind w:left="0" w:right="0"/>
              <w:rPr>
                <w:rFonts w:hint="eastAsia" w:ascii="Times New Roman" w:hAnsi="Times New Roman" w:eastAsia="宋体" w:cs="Times New Roman"/>
                <w:color w:val="auto"/>
                <w:sz w:val="24"/>
                <w:szCs w:val="24"/>
                <w:highlight w:val="none"/>
                <w:lang w:val="en-US" w:eastAsia="zh-CN"/>
              </w:rPr>
            </w:pPr>
          </w:p>
          <w:p w14:paraId="260CCC4E">
            <w:pPr>
              <w:pStyle w:val="18"/>
              <w:keepNext w:val="0"/>
              <w:keepLines w:val="0"/>
              <w:suppressLineNumbers w:val="0"/>
              <w:spacing w:beforeAutospacing="0" w:afterAutospacing="0"/>
              <w:ind w:left="0"/>
              <w:rPr>
                <w:rFonts w:hint="eastAsia" w:ascii="Times New Roman" w:hAnsi="Times New Roman" w:eastAsia="宋体" w:cs="Times New Roman"/>
                <w:color w:val="auto"/>
                <w:sz w:val="24"/>
                <w:szCs w:val="24"/>
                <w:highlight w:val="none"/>
                <w:lang w:val="en-US" w:eastAsia="zh-CN"/>
              </w:rPr>
            </w:pPr>
          </w:p>
          <w:p w14:paraId="277B39E1">
            <w:pPr>
              <w:keepNext w:val="0"/>
              <w:keepLines w:val="0"/>
              <w:suppressLineNumbers w:val="0"/>
              <w:spacing w:before="0" w:beforeAutospacing="0" w:after="0" w:afterAutospacing="0"/>
              <w:ind w:left="0" w:right="0"/>
              <w:rPr>
                <w:rFonts w:hint="eastAsia" w:ascii="Times New Roman" w:hAnsi="Times New Roman" w:eastAsia="宋体" w:cs="Times New Roman"/>
                <w:color w:val="auto"/>
                <w:sz w:val="24"/>
                <w:szCs w:val="24"/>
                <w:highlight w:val="none"/>
                <w:lang w:val="en-US" w:eastAsia="zh-CN"/>
              </w:rPr>
            </w:pPr>
          </w:p>
          <w:p w14:paraId="16A9D4BC">
            <w:pPr>
              <w:pStyle w:val="18"/>
              <w:keepNext w:val="0"/>
              <w:keepLines w:val="0"/>
              <w:suppressLineNumbers w:val="0"/>
              <w:spacing w:beforeAutospacing="0" w:afterAutospacing="0"/>
              <w:ind w:left="0"/>
              <w:rPr>
                <w:rFonts w:hint="eastAsia" w:ascii="Times New Roman" w:hAnsi="Times New Roman" w:eastAsia="宋体" w:cs="Times New Roman"/>
                <w:color w:val="auto"/>
                <w:sz w:val="24"/>
                <w:szCs w:val="24"/>
                <w:highlight w:val="none"/>
                <w:lang w:val="en-US" w:eastAsia="zh-CN"/>
              </w:rPr>
            </w:pPr>
          </w:p>
          <w:p w14:paraId="1E7C62C7">
            <w:pPr>
              <w:keepNext w:val="0"/>
              <w:keepLines w:val="0"/>
              <w:suppressLineNumbers w:val="0"/>
              <w:spacing w:before="0" w:beforeAutospacing="0" w:after="0" w:afterAutospacing="0"/>
              <w:ind w:left="0" w:right="0"/>
              <w:rPr>
                <w:rFonts w:hint="eastAsia" w:ascii="Times New Roman" w:hAnsi="Times New Roman" w:eastAsia="宋体" w:cs="Times New Roman"/>
                <w:color w:val="auto"/>
                <w:sz w:val="24"/>
                <w:szCs w:val="24"/>
                <w:highlight w:val="none"/>
                <w:lang w:val="en-US" w:eastAsia="zh-CN"/>
              </w:rPr>
            </w:pPr>
          </w:p>
          <w:p w14:paraId="20B5EC99">
            <w:pPr>
              <w:pStyle w:val="18"/>
              <w:keepNext w:val="0"/>
              <w:keepLines w:val="0"/>
              <w:suppressLineNumbers w:val="0"/>
              <w:spacing w:beforeAutospacing="0" w:afterAutospacing="0"/>
              <w:ind w:left="0"/>
              <w:rPr>
                <w:rFonts w:hint="eastAsia" w:ascii="Times New Roman" w:hAnsi="Times New Roman" w:eastAsia="宋体" w:cs="Times New Roman"/>
                <w:color w:val="auto"/>
                <w:sz w:val="24"/>
                <w:szCs w:val="24"/>
                <w:highlight w:val="none"/>
                <w:lang w:val="en-US" w:eastAsia="zh-CN"/>
              </w:rPr>
            </w:pPr>
          </w:p>
          <w:p w14:paraId="752964C1">
            <w:pPr>
              <w:keepNext w:val="0"/>
              <w:keepLines w:val="0"/>
              <w:suppressLineNumbers w:val="0"/>
              <w:spacing w:before="0" w:beforeAutospacing="0" w:after="0" w:afterAutospacing="0"/>
              <w:ind w:left="0" w:right="0"/>
              <w:rPr>
                <w:rFonts w:hint="eastAsia" w:ascii="Times New Roman" w:hAnsi="Times New Roman" w:eastAsia="宋体" w:cs="Times New Roman"/>
                <w:color w:val="auto"/>
                <w:sz w:val="24"/>
                <w:szCs w:val="24"/>
                <w:highlight w:val="none"/>
                <w:lang w:val="en-US" w:eastAsia="zh-CN"/>
              </w:rPr>
            </w:pPr>
          </w:p>
          <w:p w14:paraId="37C0ADDE">
            <w:pPr>
              <w:pStyle w:val="18"/>
              <w:keepNext w:val="0"/>
              <w:keepLines w:val="0"/>
              <w:suppressLineNumbers w:val="0"/>
              <w:spacing w:beforeAutospacing="0" w:afterAutospacing="0"/>
              <w:ind w:left="0"/>
              <w:rPr>
                <w:rFonts w:hint="default" w:ascii="Times New Roman" w:hAnsi="Times New Roman" w:cs="Times New Roman"/>
                <w:color w:val="auto"/>
                <w:highlight w:val="none"/>
              </w:rPr>
            </w:pPr>
          </w:p>
        </w:tc>
      </w:tr>
    </w:tbl>
    <w:p w14:paraId="51237DF9">
      <w:pPr>
        <w:adjustRightInd w:val="0"/>
        <w:snapToGrid w:val="0"/>
        <w:spacing w:line="360" w:lineRule="auto"/>
        <w:rPr>
          <w:rFonts w:hint="default" w:ascii="Times New Roman" w:hAnsi="Times New Roman" w:eastAsia="宋体" w:cs="Times New Roman"/>
          <w:b/>
          <w:color w:val="auto"/>
          <w:kern w:val="0"/>
          <w:sz w:val="28"/>
          <w:szCs w:val="28"/>
          <w:highlight w:val="none"/>
        </w:rPr>
        <w:sectPr>
          <w:pgSz w:w="11907" w:h="16840"/>
          <w:pgMar w:top="1701" w:right="1531" w:bottom="2127" w:left="153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12906"/>
      </w:tblGrid>
      <w:tr w14:paraId="0E9E7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4" w:hRule="atLeast"/>
        </w:trPr>
        <w:tc>
          <w:tcPr>
            <w:tcW w:w="774" w:type="dxa"/>
            <w:noWrap w:val="0"/>
            <w:vAlign w:val="top"/>
          </w:tcPr>
          <w:p w14:paraId="43B34F89">
            <w:pPr>
              <w:pStyle w:val="28"/>
              <w:keepNext w:val="0"/>
              <w:keepLines w:val="0"/>
              <w:suppressLineNumbers w:val="0"/>
              <w:ind w:left="0" w:right="0"/>
              <w:jc w:val="center"/>
              <w:outlineLvl w:val="0"/>
              <w:rPr>
                <w:rFonts w:hint="default" w:ascii="Times New Roman" w:hAnsi="Times New Roman" w:eastAsia="宋体" w:cs="Times New Roman"/>
                <w:b/>
                <w:bCs/>
                <w:snapToGrid w:val="0"/>
                <w:color w:val="auto"/>
                <w:sz w:val="30"/>
                <w:szCs w:val="30"/>
                <w:highlight w:val="none"/>
                <w:vertAlign w:val="baseline"/>
              </w:rPr>
            </w:pPr>
          </w:p>
        </w:tc>
        <w:tc>
          <w:tcPr>
            <w:tcW w:w="12906" w:type="dxa"/>
            <w:noWrap w:val="0"/>
            <w:vAlign w:val="top"/>
          </w:tcPr>
          <w:p w14:paraId="182CDAB0">
            <w:pPr>
              <w:keepNext w:val="0"/>
              <w:keepLines w:val="0"/>
              <w:suppressLineNumbers w:val="0"/>
              <w:snapToGrid w:val="0"/>
              <w:spacing w:before="120" w:beforeLines="50" w:beforeAutospacing="0" w:after="0" w:afterAutospacing="0"/>
              <w:ind w:left="0" w:right="0"/>
              <w:jc w:val="center"/>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rPr>
              <w:t>表</w:t>
            </w:r>
            <w:r>
              <w:rPr>
                <w:rFonts w:hint="eastAsia" w:ascii="Times New Roman" w:hAnsi="Times New Roman" w:eastAsia="宋体" w:cs="Times New Roman"/>
                <w:b/>
                <w:color w:val="auto"/>
                <w:highlight w:val="none"/>
                <w:lang w:val="en-US" w:eastAsia="zh-CN"/>
              </w:rPr>
              <w:t>4</w:t>
            </w:r>
            <w:r>
              <w:rPr>
                <w:rFonts w:hint="eastAsia" w:cs="Times New Roman"/>
                <w:b/>
                <w:color w:val="auto"/>
                <w:highlight w:val="none"/>
                <w:lang w:val="en-US" w:eastAsia="zh-CN"/>
              </w:rPr>
              <w:t>-20</w:t>
            </w:r>
            <w:r>
              <w:rPr>
                <w:rFonts w:hint="default" w:ascii="Times New Roman" w:hAnsi="Times New Roman" w:eastAsia="宋体" w:cs="Times New Roman"/>
                <w:b/>
                <w:color w:val="auto"/>
                <w:highlight w:val="none"/>
                <w:lang w:val="en-US" w:eastAsia="zh-CN"/>
              </w:rPr>
              <w:t xml:space="preserve"> </w:t>
            </w:r>
            <w:r>
              <w:rPr>
                <w:rFonts w:hint="default" w:ascii="Times New Roman" w:hAnsi="Times New Roman" w:eastAsia="宋体" w:cs="Times New Roman"/>
                <w:b/>
                <w:color w:val="auto"/>
                <w:highlight w:val="none"/>
              </w:rPr>
              <w:t>项目危险废物汇总一览表</w:t>
            </w:r>
          </w:p>
          <w:tbl>
            <w:tblPr>
              <w:tblStyle w:val="31"/>
              <w:tblW w:w="1267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91"/>
              <w:gridCol w:w="709"/>
              <w:gridCol w:w="1843"/>
              <w:gridCol w:w="2266"/>
              <w:gridCol w:w="1121"/>
              <w:gridCol w:w="692"/>
              <w:gridCol w:w="974"/>
              <w:gridCol w:w="1132"/>
              <w:gridCol w:w="1157"/>
              <w:gridCol w:w="1066"/>
              <w:gridCol w:w="1024"/>
            </w:tblGrid>
            <w:tr w14:paraId="1F399A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691" w:type="dxa"/>
                  <w:tcBorders>
                    <w:top w:val="single" w:color="auto" w:sz="8" w:space="0"/>
                    <w:left w:val="single" w:color="auto" w:sz="8" w:space="0"/>
                    <w:bottom w:val="single" w:color="auto" w:sz="4" w:space="0"/>
                    <w:right w:val="single" w:color="auto" w:sz="4" w:space="0"/>
                  </w:tcBorders>
                  <w:noWrap w:val="0"/>
                  <w:vAlign w:val="center"/>
                </w:tcPr>
                <w:p w14:paraId="14D52A93">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b/>
                      <w:bCs w:val="0"/>
                      <w:color w:val="auto"/>
                      <w:kern w:val="2"/>
                      <w:sz w:val="21"/>
                      <w:szCs w:val="21"/>
                      <w:highlight w:val="none"/>
                    </w:rPr>
                  </w:pPr>
                  <w:r>
                    <w:rPr>
                      <w:rFonts w:hint="default" w:ascii="Times New Roman" w:hAnsi="Times New Roman" w:eastAsia="宋体" w:cs="Times New Roman"/>
                      <w:b/>
                      <w:bCs w:val="0"/>
                      <w:color w:val="auto"/>
                      <w:kern w:val="2"/>
                      <w:sz w:val="21"/>
                      <w:szCs w:val="21"/>
                      <w:highlight w:val="none"/>
                      <w:lang w:val="en-US" w:eastAsia="zh-CN" w:bidi="ar"/>
                    </w:rPr>
                    <w:t>序号</w:t>
                  </w:r>
                </w:p>
              </w:tc>
              <w:tc>
                <w:tcPr>
                  <w:tcW w:w="709" w:type="dxa"/>
                  <w:tcBorders>
                    <w:top w:val="single" w:color="auto" w:sz="8" w:space="0"/>
                    <w:left w:val="nil"/>
                    <w:bottom w:val="single" w:color="auto" w:sz="4" w:space="0"/>
                    <w:right w:val="single" w:color="auto" w:sz="4" w:space="0"/>
                  </w:tcBorders>
                  <w:noWrap w:val="0"/>
                  <w:vAlign w:val="center"/>
                </w:tcPr>
                <w:p w14:paraId="28F64AC1">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b/>
                      <w:bCs w:val="0"/>
                      <w:color w:val="auto"/>
                      <w:kern w:val="2"/>
                      <w:sz w:val="21"/>
                      <w:szCs w:val="21"/>
                      <w:highlight w:val="none"/>
                    </w:rPr>
                  </w:pPr>
                  <w:r>
                    <w:rPr>
                      <w:rFonts w:hint="default" w:ascii="Times New Roman" w:hAnsi="Times New Roman" w:eastAsia="宋体" w:cs="Times New Roman"/>
                      <w:b/>
                      <w:bCs w:val="0"/>
                      <w:color w:val="auto"/>
                      <w:kern w:val="2"/>
                      <w:sz w:val="21"/>
                      <w:szCs w:val="21"/>
                      <w:highlight w:val="none"/>
                      <w:lang w:val="en-US" w:eastAsia="zh-CN" w:bidi="ar"/>
                    </w:rPr>
                    <w:t>产废环节</w:t>
                  </w:r>
                </w:p>
              </w:tc>
              <w:tc>
                <w:tcPr>
                  <w:tcW w:w="1843" w:type="dxa"/>
                  <w:tcBorders>
                    <w:top w:val="single" w:color="auto" w:sz="8" w:space="0"/>
                    <w:left w:val="nil"/>
                    <w:bottom w:val="single" w:color="auto" w:sz="4" w:space="0"/>
                    <w:right w:val="single" w:color="auto" w:sz="4" w:space="0"/>
                  </w:tcBorders>
                  <w:noWrap w:val="0"/>
                  <w:vAlign w:val="center"/>
                </w:tcPr>
                <w:p w14:paraId="44C3DD27">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b/>
                      <w:bCs w:val="0"/>
                      <w:color w:val="auto"/>
                      <w:kern w:val="2"/>
                      <w:sz w:val="21"/>
                      <w:szCs w:val="21"/>
                      <w:highlight w:val="none"/>
                    </w:rPr>
                  </w:pPr>
                  <w:r>
                    <w:rPr>
                      <w:rFonts w:hint="default" w:ascii="Times New Roman" w:hAnsi="Times New Roman" w:eastAsia="宋体" w:cs="Times New Roman"/>
                      <w:b/>
                      <w:bCs w:val="0"/>
                      <w:color w:val="auto"/>
                      <w:kern w:val="2"/>
                      <w:sz w:val="21"/>
                      <w:szCs w:val="21"/>
                      <w:highlight w:val="none"/>
                      <w:lang w:val="en-US" w:eastAsia="zh-CN" w:bidi="ar"/>
                    </w:rPr>
                    <w:t>固废名称</w:t>
                  </w:r>
                </w:p>
              </w:tc>
              <w:tc>
                <w:tcPr>
                  <w:tcW w:w="2266" w:type="dxa"/>
                  <w:tcBorders>
                    <w:top w:val="single" w:color="auto" w:sz="8" w:space="0"/>
                    <w:left w:val="nil"/>
                    <w:bottom w:val="single" w:color="auto" w:sz="4" w:space="0"/>
                    <w:right w:val="single" w:color="auto" w:sz="4" w:space="0"/>
                  </w:tcBorders>
                  <w:noWrap w:val="0"/>
                  <w:vAlign w:val="center"/>
                </w:tcPr>
                <w:p w14:paraId="223CE6A3">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b/>
                      <w:bCs w:val="0"/>
                      <w:color w:val="auto"/>
                      <w:kern w:val="2"/>
                      <w:sz w:val="21"/>
                      <w:szCs w:val="21"/>
                      <w:highlight w:val="none"/>
                      <w:lang w:val="en-US"/>
                    </w:rPr>
                  </w:pPr>
                  <w:r>
                    <w:rPr>
                      <w:rFonts w:hint="eastAsia" w:ascii="Times New Roman" w:hAnsi="Times New Roman" w:eastAsia="宋体" w:cs="Times New Roman"/>
                      <w:b/>
                      <w:bCs w:val="0"/>
                      <w:color w:val="auto"/>
                      <w:kern w:val="2"/>
                      <w:sz w:val="21"/>
                      <w:szCs w:val="21"/>
                      <w:highlight w:val="none"/>
                      <w:lang w:val="en-US" w:eastAsia="zh-CN" w:bidi="ar"/>
                    </w:rPr>
                    <w:t>代码</w:t>
                  </w:r>
                </w:p>
              </w:tc>
              <w:tc>
                <w:tcPr>
                  <w:tcW w:w="1121" w:type="dxa"/>
                  <w:tcBorders>
                    <w:top w:val="single" w:color="auto" w:sz="8" w:space="0"/>
                    <w:left w:val="nil"/>
                    <w:bottom w:val="single" w:color="auto" w:sz="4" w:space="0"/>
                    <w:right w:val="single" w:color="auto" w:sz="4" w:space="0"/>
                  </w:tcBorders>
                  <w:noWrap w:val="0"/>
                  <w:vAlign w:val="center"/>
                </w:tcPr>
                <w:p w14:paraId="188C638C">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b/>
                      <w:bCs w:val="0"/>
                      <w:color w:val="auto"/>
                      <w:kern w:val="2"/>
                      <w:sz w:val="21"/>
                      <w:szCs w:val="21"/>
                      <w:highlight w:val="none"/>
                    </w:rPr>
                  </w:pPr>
                  <w:r>
                    <w:rPr>
                      <w:rFonts w:hint="default" w:ascii="Times New Roman" w:hAnsi="Times New Roman" w:eastAsia="宋体" w:cs="Times New Roman"/>
                      <w:b/>
                      <w:bCs w:val="0"/>
                      <w:color w:val="auto"/>
                      <w:kern w:val="2"/>
                      <w:sz w:val="21"/>
                      <w:szCs w:val="21"/>
                      <w:highlight w:val="none"/>
                      <w:lang w:val="en-US" w:eastAsia="zh-CN" w:bidi="ar"/>
                    </w:rPr>
                    <w:t>主要有毒有害物质名称</w:t>
                  </w:r>
                </w:p>
              </w:tc>
              <w:tc>
                <w:tcPr>
                  <w:tcW w:w="692" w:type="dxa"/>
                  <w:tcBorders>
                    <w:top w:val="single" w:color="auto" w:sz="8" w:space="0"/>
                    <w:left w:val="nil"/>
                    <w:bottom w:val="single" w:color="auto" w:sz="4" w:space="0"/>
                    <w:right w:val="single" w:color="auto" w:sz="4" w:space="0"/>
                  </w:tcBorders>
                  <w:noWrap w:val="0"/>
                  <w:vAlign w:val="center"/>
                </w:tcPr>
                <w:p w14:paraId="3EB318FA">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b/>
                      <w:bCs w:val="0"/>
                      <w:color w:val="auto"/>
                      <w:kern w:val="2"/>
                      <w:sz w:val="21"/>
                      <w:szCs w:val="21"/>
                      <w:highlight w:val="none"/>
                    </w:rPr>
                  </w:pPr>
                  <w:r>
                    <w:rPr>
                      <w:rFonts w:hint="default" w:ascii="Times New Roman" w:hAnsi="Times New Roman" w:eastAsia="宋体" w:cs="Times New Roman"/>
                      <w:b/>
                      <w:bCs w:val="0"/>
                      <w:color w:val="auto"/>
                      <w:kern w:val="2"/>
                      <w:sz w:val="21"/>
                      <w:szCs w:val="21"/>
                      <w:highlight w:val="none"/>
                      <w:lang w:val="en-US" w:eastAsia="zh-CN" w:bidi="ar"/>
                    </w:rPr>
                    <w:t>物理性状</w:t>
                  </w:r>
                </w:p>
              </w:tc>
              <w:tc>
                <w:tcPr>
                  <w:tcW w:w="974" w:type="dxa"/>
                  <w:tcBorders>
                    <w:top w:val="single" w:color="auto" w:sz="8" w:space="0"/>
                    <w:left w:val="nil"/>
                    <w:bottom w:val="single" w:color="auto" w:sz="4" w:space="0"/>
                    <w:right w:val="single" w:color="auto" w:sz="4" w:space="0"/>
                  </w:tcBorders>
                  <w:noWrap w:val="0"/>
                  <w:vAlign w:val="center"/>
                </w:tcPr>
                <w:p w14:paraId="418B9ED0">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b/>
                      <w:bCs w:val="0"/>
                      <w:color w:val="auto"/>
                      <w:kern w:val="2"/>
                      <w:sz w:val="21"/>
                      <w:szCs w:val="21"/>
                      <w:highlight w:val="none"/>
                    </w:rPr>
                  </w:pPr>
                  <w:r>
                    <w:rPr>
                      <w:rFonts w:hint="default" w:ascii="Times New Roman" w:hAnsi="Times New Roman" w:eastAsia="宋体" w:cs="Times New Roman"/>
                      <w:b/>
                      <w:bCs w:val="0"/>
                      <w:color w:val="auto"/>
                      <w:kern w:val="2"/>
                      <w:sz w:val="21"/>
                      <w:szCs w:val="21"/>
                      <w:highlight w:val="none"/>
                      <w:lang w:val="en-US" w:eastAsia="zh-CN" w:bidi="ar"/>
                    </w:rPr>
                    <w:t>环境危险特性</w:t>
                  </w:r>
                </w:p>
              </w:tc>
              <w:tc>
                <w:tcPr>
                  <w:tcW w:w="1132" w:type="dxa"/>
                  <w:tcBorders>
                    <w:top w:val="single" w:color="auto" w:sz="8" w:space="0"/>
                    <w:left w:val="nil"/>
                    <w:bottom w:val="single" w:color="auto" w:sz="4" w:space="0"/>
                    <w:right w:val="single" w:color="auto" w:sz="4" w:space="0"/>
                  </w:tcBorders>
                  <w:noWrap w:val="0"/>
                  <w:vAlign w:val="center"/>
                </w:tcPr>
                <w:p w14:paraId="04CC91FF">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b/>
                      <w:bCs w:val="0"/>
                      <w:color w:val="auto"/>
                      <w:kern w:val="2"/>
                      <w:sz w:val="21"/>
                      <w:szCs w:val="21"/>
                      <w:highlight w:val="none"/>
                    </w:rPr>
                  </w:pPr>
                  <w:r>
                    <w:rPr>
                      <w:rFonts w:hint="default" w:ascii="Times New Roman" w:hAnsi="Times New Roman" w:eastAsia="宋体" w:cs="Times New Roman"/>
                      <w:b/>
                      <w:bCs w:val="0"/>
                      <w:color w:val="auto"/>
                      <w:kern w:val="2"/>
                      <w:sz w:val="21"/>
                      <w:szCs w:val="21"/>
                      <w:highlight w:val="none"/>
                      <w:lang w:val="en-US" w:eastAsia="zh-CN" w:bidi="ar"/>
                    </w:rPr>
                    <w:t>产生量（t/a）</w:t>
                  </w:r>
                </w:p>
              </w:tc>
              <w:tc>
                <w:tcPr>
                  <w:tcW w:w="1157" w:type="dxa"/>
                  <w:tcBorders>
                    <w:top w:val="single" w:color="auto" w:sz="8" w:space="0"/>
                    <w:left w:val="nil"/>
                    <w:bottom w:val="single" w:color="auto" w:sz="4" w:space="0"/>
                    <w:right w:val="single" w:color="auto" w:sz="4" w:space="0"/>
                  </w:tcBorders>
                  <w:noWrap w:val="0"/>
                  <w:vAlign w:val="center"/>
                </w:tcPr>
                <w:p w14:paraId="59716C79">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b/>
                      <w:bCs w:val="0"/>
                      <w:color w:val="auto"/>
                      <w:kern w:val="2"/>
                      <w:sz w:val="21"/>
                      <w:szCs w:val="21"/>
                      <w:highlight w:val="none"/>
                    </w:rPr>
                  </w:pPr>
                  <w:r>
                    <w:rPr>
                      <w:rFonts w:hint="default" w:ascii="Times New Roman" w:hAnsi="Times New Roman" w:eastAsia="宋体" w:cs="Times New Roman"/>
                      <w:b/>
                      <w:bCs w:val="0"/>
                      <w:color w:val="auto"/>
                      <w:kern w:val="2"/>
                      <w:sz w:val="21"/>
                      <w:szCs w:val="21"/>
                      <w:highlight w:val="none"/>
                      <w:lang w:val="en-US" w:eastAsia="zh-CN" w:bidi="ar"/>
                    </w:rPr>
                    <w:t>贮存方式</w:t>
                  </w:r>
                </w:p>
              </w:tc>
              <w:tc>
                <w:tcPr>
                  <w:tcW w:w="1066" w:type="dxa"/>
                  <w:tcBorders>
                    <w:top w:val="single" w:color="auto" w:sz="8" w:space="0"/>
                    <w:left w:val="nil"/>
                    <w:bottom w:val="single" w:color="auto" w:sz="4" w:space="0"/>
                    <w:right w:val="single" w:color="auto" w:sz="4" w:space="0"/>
                  </w:tcBorders>
                  <w:noWrap w:val="0"/>
                  <w:vAlign w:val="center"/>
                </w:tcPr>
                <w:p w14:paraId="4032CABD">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b/>
                      <w:bCs w:val="0"/>
                      <w:color w:val="auto"/>
                      <w:kern w:val="2"/>
                      <w:sz w:val="21"/>
                      <w:szCs w:val="21"/>
                      <w:highlight w:val="none"/>
                    </w:rPr>
                  </w:pPr>
                  <w:r>
                    <w:rPr>
                      <w:rFonts w:hint="default" w:ascii="Times New Roman" w:hAnsi="Times New Roman" w:eastAsia="宋体" w:cs="Times New Roman"/>
                      <w:b/>
                      <w:bCs w:val="0"/>
                      <w:color w:val="auto"/>
                      <w:kern w:val="2"/>
                      <w:sz w:val="21"/>
                      <w:szCs w:val="21"/>
                      <w:highlight w:val="none"/>
                      <w:lang w:val="en-US" w:eastAsia="zh-CN" w:bidi="ar"/>
                    </w:rPr>
                    <w:t>利用处置方式和去向</w:t>
                  </w:r>
                </w:p>
              </w:tc>
              <w:tc>
                <w:tcPr>
                  <w:tcW w:w="1024" w:type="dxa"/>
                  <w:tcBorders>
                    <w:top w:val="single" w:color="auto" w:sz="8" w:space="0"/>
                    <w:left w:val="nil"/>
                    <w:bottom w:val="single" w:color="auto" w:sz="4" w:space="0"/>
                    <w:right w:val="single" w:color="auto" w:sz="4" w:space="0"/>
                  </w:tcBorders>
                  <w:noWrap w:val="0"/>
                  <w:vAlign w:val="center"/>
                </w:tcPr>
                <w:p w14:paraId="6BF71630">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b/>
                      <w:bCs w:val="0"/>
                      <w:color w:val="auto"/>
                      <w:kern w:val="2"/>
                      <w:sz w:val="21"/>
                      <w:szCs w:val="21"/>
                      <w:highlight w:val="none"/>
                    </w:rPr>
                  </w:pPr>
                  <w:r>
                    <w:rPr>
                      <w:rFonts w:hint="default" w:ascii="Times New Roman" w:hAnsi="Times New Roman" w:eastAsia="宋体" w:cs="Times New Roman"/>
                      <w:b/>
                      <w:bCs w:val="0"/>
                      <w:color w:val="auto"/>
                      <w:kern w:val="2"/>
                      <w:sz w:val="21"/>
                      <w:szCs w:val="21"/>
                      <w:highlight w:val="none"/>
                      <w:lang w:val="en-US" w:eastAsia="zh-CN" w:bidi="ar"/>
                    </w:rPr>
                    <w:t>利用或处置量（t/a）</w:t>
                  </w:r>
                </w:p>
              </w:tc>
            </w:tr>
            <w:tr w14:paraId="6CDAD3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691" w:type="dxa"/>
                  <w:tcBorders>
                    <w:top w:val="single" w:color="auto" w:sz="4" w:space="0"/>
                    <w:left w:val="single" w:color="auto" w:sz="8" w:space="0"/>
                    <w:bottom w:val="single" w:color="auto" w:sz="4" w:space="0"/>
                    <w:right w:val="single" w:color="auto" w:sz="4" w:space="0"/>
                  </w:tcBorders>
                  <w:noWrap w:val="0"/>
                  <w:vAlign w:val="center"/>
                </w:tcPr>
                <w:p w14:paraId="21584C3F">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1</w:t>
                  </w:r>
                </w:p>
              </w:tc>
              <w:tc>
                <w:tcPr>
                  <w:tcW w:w="709" w:type="dxa"/>
                  <w:vMerge w:val="restart"/>
                  <w:tcBorders>
                    <w:top w:val="single" w:color="auto" w:sz="4" w:space="0"/>
                    <w:left w:val="nil"/>
                    <w:right w:val="single" w:color="auto" w:sz="4" w:space="0"/>
                  </w:tcBorders>
                  <w:noWrap w:val="0"/>
                  <w:vAlign w:val="center"/>
                </w:tcPr>
                <w:p w14:paraId="01C2168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rPr>
                  </w:pPr>
                  <w:r>
                    <w:rPr>
                      <w:rFonts w:hint="eastAsia" w:ascii="Times New Roman" w:hAnsi="Times New Roman" w:eastAsia="宋体" w:cs="Times New Roman"/>
                      <w:color w:val="auto"/>
                      <w:kern w:val="2"/>
                      <w:sz w:val="21"/>
                      <w:szCs w:val="21"/>
                      <w:highlight w:val="none"/>
                      <w:lang w:val="en-US" w:eastAsia="zh-CN" w:bidi="ar"/>
                    </w:rPr>
                    <w:t>原料使用</w:t>
                  </w:r>
                </w:p>
              </w:tc>
              <w:tc>
                <w:tcPr>
                  <w:tcW w:w="1843" w:type="dxa"/>
                  <w:tcBorders>
                    <w:top w:val="single" w:color="auto" w:sz="4" w:space="0"/>
                    <w:left w:val="nil"/>
                    <w:bottom w:val="single" w:color="auto" w:sz="4" w:space="0"/>
                    <w:right w:val="single" w:color="auto" w:sz="4" w:space="0"/>
                  </w:tcBorders>
                  <w:noWrap w:val="0"/>
                  <w:vAlign w:val="center"/>
                </w:tcPr>
                <w:p w14:paraId="241C3A3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rPr>
                  </w:pPr>
                  <w:r>
                    <w:rPr>
                      <w:rFonts w:hint="eastAsia" w:ascii="Times New Roman" w:hAnsi="Times New Roman" w:eastAsia="宋体" w:cs="Times New Roman"/>
                      <w:b w:val="0"/>
                      <w:bCs w:val="0"/>
                      <w:color w:val="auto"/>
                      <w:kern w:val="2"/>
                      <w:sz w:val="21"/>
                      <w:szCs w:val="21"/>
                      <w:highlight w:val="none"/>
                      <w:lang w:val="en-US" w:eastAsia="zh-CN" w:bidi="ar"/>
                    </w:rPr>
                    <w:t>大豆油墨废瓶</w:t>
                  </w:r>
                </w:p>
              </w:tc>
              <w:tc>
                <w:tcPr>
                  <w:tcW w:w="2266" w:type="dxa"/>
                  <w:tcBorders>
                    <w:top w:val="single" w:color="auto" w:sz="4" w:space="0"/>
                    <w:left w:val="nil"/>
                    <w:bottom w:val="single" w:color="auto" w:sz="4" w:space="0"/>
                    <w:right w:val="single" w:color="auto" w:sz="4" w:space="0"/>
                  </w:tcBorders>
                  <w:noWrap w:val="0"/>
                  <w:vAlign w:val="center"/>
                </w:tcPr>
                <w:p w14:paraId="177E002B">
                  <w:pPr>
                    <w:keepNext w:val="0"/>
                    <w:keepLines w:val="0"/>
                    <w:widowControl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HW49其他废物</w:t>
                  </w:r>
                </w:p>
                <w:p w14:paraId="53FC19C1">
                  <w:pPr>
                    <w:keepNext w:val="0"/>
                    <w:keepLines w:val="0"/>
                    <w:widowControl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900-041-49</w:t>
                  </w:r>
                </w:p>
              </w:tc>
              <w:tc>
                <w:tcPr>
                  <w:tcW w:w="1121" w:type="dxa"/>
                  <w:tcBorders>
                    <w:top w:val="single" w:color="auto" w:sz="4" w:space="0"/>
                    <w:left w:val="nil"/>
                    <w:bottom w:val="single" w:color="auto" w:sz="4" w:space="0"/>
                    <w:right w:val="single" w:color="auto" w:sz="4" w:space="0"/>
                  </w:tcBorders>
                  <w:noWrap w:val="0"/>
                  <w:vAlign w:val="center"/>
                </w:tcPr>
                <w:p w14:paraId="3AF6B50D">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rPr>
                  </w:pPr>
                  <w:r>
                    <w:rPr>
                      <w:rFonts w:hint="eastAsia" w:ascii="Times New Roman" w:hAnsi="Times New Roman" w:eastAsia="宋体" w:cs="Times New Roman"/>
                      <w:color w:val="auto"/>
                      <w:kern w:val="2"/>
                      <w:sz w:val="21"/>
                      <w:szCs w:val="21"/>
                      <w:highlight w:val="none"/>
                      <w:lang w:val="en-US" w:eastAsia="zh-CN" w:bidi="ar"/>
                    </w:rPr>
                    <w:t>大豆油墨</w:t>
                  </w:r>
                </w:p>
              </w:tc>
              <w:tc>
                <w:tcPr>
                  <w:tcW w:w="692" w:type="dxa"/>
                  <w:tcBorders>
                    <w:top w:val="single" w:color="auto" w:sz="4" w:space="0"/>
                    <w:left w:val="nil"/>
                    <w:bottom w:val="single" w:color="auto" w:sz="4" w:space="0"/>
                    <w:right w:val="single" w:color="auto" w:sz="4" w:space="0"/>
                  </w:tcBorders>
                  <w:noWrap w:val="0"/>
                  <w:vAlign w:val="center"/>
                </w:tcPr>
                <w:p w14:paraId="4EEF6993">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固态</w:t>
                  </w:r>
                </w:p>
              </w:tc>
              <w:tc>
                <w:tcPr>
                  <w:tcW w:w="974" w:type="dxa"/>
                  <w:tcBorders>
                    <w:top w:val="single" w:color="auto" w:sz="4" w:space="0"/>
                    <w:left w:val="nil"/>
                    <w:bottom w:val="single" w:color="auto" w:sz="4" w:space="0"/>
                    <w:right w:val="single" w:color="auto" w:sz="4" w:space="0"/>
                  </w:tcBorders>
                  <w:noWrap w:val="0"/>
                  <w:vAlign w:val="center"/>
                </w:tcPr>
                <w:p w14:paraId="47842C8A">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rPr>
                  </w:pPr>
                  <w:r>
                    <w:rPr>
                      <w:rFonts w:hint="eastAsia" w:ascii="Times New Roman" w:hAnsi="Times New Roman" w:eastAsia="宋体" w:cs="Times New Roman"/>
                      <w:color w:val="auto"/>
                      <w:kern w:val="2"/>
                      <w:sz w:val="21"/>
                      <w:szCs w:val="21"/>
                      <w:highlight w:val="none"/>
                      <w:lang w:val="en-US" w:eastAsia="zh-CN" w:bidi="ar"/>
                    </w:rPr>
                    <w:t>T/In</w:t>
                  </w:r>
                </w:p>
              </w:tc>
              <w:tc>
                <w:tcPr>
                  <w:tcW w:w="1132" w:type="dxa"/>
                  <w:tcBorders>
                    <w:top w:val="single" w:color="auto" w:sz="4" w:space="0"/>
                    <w:left w:val="nil"/>
                    <w:bottom w:val="single" w:color="auto" w:sz="4" w:space="0"/>
                    <w:right w:val="single" w:color="auto" w:sz="4" w:space="0"/>
                  </w:tcBorders>
                  <w:noWrap w:val="0"/>
                  <w:vAlign w:val="center"/>
                </w:tcPr>
                <w:p w14:paraId="6BC7E22C">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rPr>
                  </w:pPr>
                  <w:r>
                    <w:rPr>
                      <w:rFonts w:hint="eastAsia" w:cs="Times New Roman"/>
                      <w:b w:val="0"/>
                      <w:bCs w:val="0"/>
                      <w:color w:val="auto"/>
                      <w:kern w:val="2"/>
                      <w:sz w:val="21"/>
                      <w:szCs w:val="21"/>
                      <w:highlight w:val="none"/>
                      <w:lang w:val="en-US" w:eastAsia="zh-CN" w:bidi="ar"/>
                    </w:rPr>
                    <w:t>0.02</w:t>
                  </w:r>
                </w:p>
              </w:tc>
              <w:tc>
                <w:tcPr>
                  <w:tcW w:w="1157" w:type="dxa"/>
                  <w:vMerge w:val="restart"/>
                  <w:tcBorders>
                    <w:top w:val="single" w:color="auto" w:sz="4" w:space="0"/>
                    <w:left w:val="nil"/>
                    <w:right w:val="single" w:color="auto" w:sz="4" w:space="0"/>
                  </w:tcBorders>
                  <w:noWrap w:val="0"/>
                  <w:vAlign w:val="center"/>
                </w:tcPr>
                <w:p w14:paraId="135651EB">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分类收集至危废桶，暂存于危废间</w:t>
                  </w:r>
                </w:p>
              </w:tc>
              <w:tc>
                <w:tcPr>
                  <w:tcW w:w="1066" w:type="dxa"/>
                  <w:vMerge w:val="restart"/>
                  <w:tcBorders>
                    <w:top w:val="single" w:color="auto" w:sz="4" w:space="0"/>
                    <w:left w:val="nil"/>
                    <w:right w:val="single" w:color="auto" w:sz="4" w:space="0"/>
                  </w:tcBorders>
                  <w:noWrap w:val="0"/>
                  <w:vAlign w:val="center"/>
                </w:tcPr>
                <w:p w14:paraId="6F5ACE7B">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kern w:val="2"/>
                      <w:sz w:val="21"/>
                      <w:szCs w:val="21"/>
                      <w:highlight w:val="none"/>
                      <w:lang w:val="en-US" w:eastAsia="zh-CN"/>
                    </w:rPr>
                  </w:pPr>
                  <w:r>
                    <w:rPr>
                      <w:rFonts w:hint="eastAsia" w:ascii="Times New Roman" w:hAnsi="Times New Roman" w:eastAsia="宋体" w:cs="Times New Roman"/>
                      <w:b w:val="0"/>
                      <w:bCs w:val="0"/>
                      <w:color w:val="auto"/>
                      <w:kern w:val="2"/>
                      <w:sz w:val="21"/>
                      <w:szCs w:val="21"/>
                      <w:highlight w:val="none"/>
                      <w:lang w:val="en-US" w:eastAsia="zh-CN"/>
                    </w:rPr>
                    <w:t>委托相应的危废资质单位处理</w:t>
                  </w:r>
                </w:p>
              </w:tc>
              <w:tc>
                <w:tcPr>
                  <w:tcW w:w="1024" w:type="dxa"/>
                  <w:tcBorders>
                    <w:top w:val="single" w:color="auto" w:sz="4" w:space="0"/>
                    <w:left w:val="nil"/>
                    <w:bottom w:val="single" w:color="auto" w:sz="4" w:space="0"/>
                    <w:right w:val="single" w:color="auto" w:sz="4" w:space="0"/>
                  </w:tcBorders>
                  <w:noWrap w:val="0"/>
                  <w:vAlign w:val="center"/>
                </w:tcPr>
                <w:p w14:paraId="4591A6B6">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highlight w:val="none"/>
                    </w:rPr>
                  </w:pPr>
                  <w:r>
                    <w:rPr>
                      <w:rFonts w:hint="eastAsia" w:cs="Times New Roman"/>
                      <w:b w:val="0"/>
                      <w:bCs w:val="0"/>
                      <w:color w:val="auto"/>
                      <w:kern w:val="2"/>
                      <w:sz w:val="21"/>
                      <w:szCs w:val="21"/>
                      <w:highlight w:val="none"/>
                      <w:lang w:val="en-US" w:eastAsia="zh-CN" w:bidi="ar"/>
                    </w:rPr>
                    <w:t>0.02</w:t>
                  </w:r>
                </w:p>
              </w:tc>
            </w:tr>
            <w:tr w14:paraId="0FE2DA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691" w:type="dxa"/>
                  <w:tcBorders>
                    <w:top w:val="single" w:color="auto" w:sz="4" w:space="0"/>
                    <w:left w:val="single" w:color="auto" w:sz="8" w:space="0"/>
                    <w:bottom w:val="single" w:color="auto" w:sz="4" w:space="0"/>
                    <w:right w:val="single" w:color="auto" w:sz="4" w:space="0"/>
                  </w:tcBorders>
                  <w:noWrap w:val="0"/>
                  <w:vAlign w:val="center"/>
                </w:tcPr>
                <w:p w14:paraId="7D5EB87E">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2</w:t>
                  </w:r>
                </w:p>
              </w:tc>
              <w:tc>
                <w:tcPr>
                  <w:tcW w:w="709" w:type="dxa"/>
                  <w:vMerge w:val="continue"/>
                  <w:tcBorders>
                    <w:left w:val="nil"/>
                    <w:right w:val="single" w:color="auto" w:sz="4" w:space="0"/>
                  </w:tcBorders>
                  <w:noWrap w:val="0"/>
                  <w:vAlign w:val="center"/>
                </w:tcPr>
                <w:p w14:paraId="062F29FC">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
                    </w:rPr>
                  </w:pPr>
                </w:p>
              </w:tc>
              <w:tc>
                <w:tcPr>
                  <w:tcW w:w="1843" w:type="dxa"/>
                  <w:tcBorders>
                    <w:top w:val="single" w:color="auto" w:sz="4" w:space="0"/>
                    <w:left w:val="nil"/>
                    <w:bottom w:val="single" w:color="auto" w:sz="4" w:space="0"/>
                    <w:right w:val="single" w:color="auto" w:sz="4" w:space="0"/>
                  </w:tcBorders>
                  <w:noWrap w:val="0"/>
                  <w:vAlign w:val="center"/>
                </w:tcPr>
                <w:p w14:paraId="495AAB6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auto"/>
                      <w:kern w:val="2"/>
                      <w:sz w:val="21"/>
                      <w:szCs w:val="21"/>
                      <w:highlight w:val="none"/>
                      <w:lang w:val="en-US" w:eastAsia="zh-CN" w:bidi="ar"/>
                    </w:rPr>
                  </w:pPr>
                  <w:r>
                    <w:rPr>
                      <w:rFonts w:hint="eastAsia" w:ascii="Times New Roman" w:hAnsi="Times New Roman" w:eastAsia="宋体" w:cs="Times New Roman"/>
                      <w:b w:val="0"/>
                      <w:bCs w:val="0"/>
                      <w:color w:val="auto"/>
                      <w:kern w:val="2"/>
                      <w:sz w:val="21"/>
                      <w:szCs w:val="21"/>
                      <w:highlight w:val="none"/>
                      <w:lang w:val="en-US" w:eastAsia="zh-CN" w:bidi="ar"/>
                    </w:rPr>
                    <w:t>水性光油废桶</w:t>
                  </w:r>
                </w:p>
              </w:tc>
              <w:tc>
                <w:tcPr>
                  <w:tcW w:w="2266" w:type="dxa"/>
                  <w:tcBorders>
                    <w:top w:val="single" w:color="auto" w:sz="4" w:space="0"/>
                    <w:left w:val="nil"/>
                    <w:bottom w:val="single" w:color="auto" w:sz="4" w:space="0"/>
                    <w:right w:val="single" w:color="auto" w:sz="4" w:space="0"/>
                  </w:tcBorders>
                  <w:noWrap w:val="0"/>
                  <w:vAlign w:val="center"/>
                </w:tcPr>
                <w:p w14:paraId="038EEED2">
                  <w:pPr>
                    <w:keepNext w:val="0"/>
                    <w:keepLines w:val="0"/>
                    <w:widowControl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HW49其他废物</w:t>
                  </w:r>
                </w:p>
                <w:p w14:paraId="6D69B75F">
                  <w:pPr>
                    <w:keepNext w:val="0"/>
                    <w:keepLines w:val="0"/>
                    <w:widowControl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900-041-49</w:t>
                  </w:r>
                </w:p>
              </w:tc>
              <w:tc>
                <w:tcPr>
                  <w:tcW w:w="1121" w:type="dxa"/>
                  <w:tcBorders>
                    <w:top w:val="single" w:color="auto" w:sz="4" w:space="0"/>
                    <w:left w:val="nil"/>
                    <w:bottom w:val="single" w:color="auto" w:sz="4" w:space="0"/>
                    <w:right w:val="single" w:color="auto" w:sz="4" w:space="0"/>
                  </w:tcBorders>
                  <w:noWrap w:val="0"/>
                  <w:vAlign w:val="center"/>
                </w:tcPr>
                <w:p w14:paraId="0FE0E58E">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水性光油</w:t>
                  </w:r>
                </w:p>
              </w:tc>
              <w:tc>
                <w:tcPr>
                  <w:tcW w:w="692" w:type="dxa"/>
                  <w:tcBorders>
                    <w:top w:val="single" w:color="auto" w:sz="4" w:space="0"/>
                    <w:left w:val="nil"/>
                    <w:bottom w:val="single" w:color="auto" w:sz="4" w:space="0"/>
                    <w:right w:val="single" w:color="auto" w:sz="4" w:space="0"/>
                  </w:tcBorders>
                  <w:noWrap w:val="0"/>
                  <w:vAlign w:val="center"/>
                </w:tcPr>
                <w:p w14:paraId="1DECC106">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固态</w:t>
                  </w:r>
                </w:p>
              </w:tc>
              <w:tc>
                <w:tcPr>
                  <w:tcW w:w="974" w:type="dxa"/>
                  <w:tcBorders>
                    <w:top w:val="single" w:color="auto" w:sz="4" w:space="0"/>
                    <w:left w:val="nil"/>
                    <w:bottom w:val="single" w:color="auto" w:sz="4" w:space="0"/>
                    <w:right w:val="single" w:color="auto" w:sz="4" w:space="0"/>
                  </w:tcBorders>
                  <w:noWrap w:val="0"/>
                  <w:vAlign w:val="center"/>
                </w:tcPr>
                <w:p w14:paraId="733B147D">
                  <w:pPr>
                    <w:keepNext w:val="0"/>
                    <w:keepLines w:val="0"/>
                    <w:widowControl w:val="0"/>
                    <w:suppressLineNumbers w:val="0"/>
                    <w:topLinePunct/>
                    <w:adjustRightInd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T/In</w:t>
                  </w:r>
                </w:p>
              </w:tc>
              <w:tc>
                <w:tcPr>
                  <w:tcW w:w="1132" w:type="dxa"/>
                  <w:tcBorders>
                    <w:top w:val="single" w:color="auto" w:sz="4" w:space="0"/>
                    <w:left w:val="nil"/>
                    <w:bottom w:val="single" w:color="auto" w:sz="4" w:space="0"/>
                    <w:right w:val="single" w:color="auto" w:sz="4" w:space="0"/>
                  </w:tcBorders>
                  <w:noWrap w:val="0"/>
                  <w:vAlign w:val="center"/>
                </w:tcPr>
                <w:p w14:paraId="34384089">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kern w:val="2"/>
                      <w:sz w:val="21"/>
                      <w:szCs w:val="21"/>
                      <w:highlight w:val="none"/>
                      <w:lang w:val="en-US" w:eastAsia="zh-CN" w:bidi="ar"/>
                    </w:rPr>
                  </w:pPr>
                  <w:r>
                    <w:rPr>
                      <w:rFonts w:hint="eastAsia" w:cs="Times New Roman"/>
                      <w:b w:val="0"/>
                      <w:bCs w:val="0"/>
                      <w:color w:val="auto"/>
                      <w:kern w:val="2"/>
                      <w:sz w:val="21"/>
                      <w:szCs w:val="21"/>
                      <w:highlight w:val="none"/>
                      <w:lang w:val="en-US" w:eastAsia="zh-CN" w:bidi="ar"/>
                    </w:rPr>
                    <w:t>0.016</w:t>
                  </w:r>
                </w:p>
              </w:tc>
              <w:tc>
                <w:tcPr>
                  <w:tcW w:w="1157" w:type="dxa"/>
                  <w:vMerge w:val="continue"/>
                  <w:tcBorders>
                    <w:left w:val="nil"/>
                    <w:right w:val="single" w:color="auto" w:sz="4" w:space="0"/>
                  </w:tcBorders>
                  <w:noWrap w:val="0"/>
                  <w:vAlign w:val="center"/>
                </w:tcPr>
                <w:p w14:paraId="43E38EA7">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rPr>
                  </w:pPr>
                </w:p>
              </w:tc>
              <w:tc>
                <w:tcPr>
                  <w:tcW w:w="1066" w:type="dxa"/>
                  <w:vMerge w:val="continue"/>
                  <w:tcBorders>
                    <w:left w:val="nil"/>
                    <w:right w:val="single" w:color="auto" w:sz="4" w:space="0"/>
                  </w:tcBorders>
                  <w:noWrap w:val="0"/>
                  <w:vAlign w:val="center"/>
                </w:tcPr>
                <w:p w14:paraId="376E7F89">
                  <w:pPr>
                    <w:keepNext w:val="0"/>
                    <w:keepLines w:val="0"/>
                    <w:widowControl w:val="0"/>
                    <w:suppressLineNumbers w:val="0"/>
                    <w:topLinePunct/>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kern w:val="2"/>
                      <w:sz w:val="21"/>
                      <w:szCs w:val="21"/>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0B7CC271">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highlight w:val="none"/>
                      <w:lang w:val="en-US" w:eastAsia="zh-CN" w:bidi="ar"/>
                    </w:rPr>
                  </w:pPr>
                  <w:r>
                    <w:rPr>
                      <w:rFonts w:hint="eastAsia" w:cs="Times New Roman"/>
                      <w:b w:val="0"/>
                      <w:bCs w:val="0"/>
                      <w:color w:val="auto"/>
                      <w:kern w:val="2"/>
                      <w:sz w:val="21"/>
                      <w:szCs w:val="21"/>
                      <w:highlight w:val="none"/>
                      <w:lang w:val="en-US" w:eastAsia="zh-CN" w:bidi="ar"/>
                    </w:rPr>
                    <w:t>0.016</w:t>
                  </w:r>
                </w:p>
              </w:tc>
            </w:tr>
            <w:tr w14:paraId="6C8EAF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91" w:type="dxa"/>
                  <w:tcBorders>
                    <w:top w:val="single" w:color="auto" w:sz="4" w:space="0"/>
                    <w:left w:val="single" w:color="auto" w:sz="8" w:space="0"/>
                    <w:bottom w:val="single" w:color="auto" w:sz="4" w:space="0"/>
                    <w:right w:val="single" w:color="auto" w:sz="4" w:space="0"/>
                  </w:tcBorders>
                  <w:noWrap w:val="0"/>
                  <w:vAlign w:val="center"/>
                </w:tcPr>
                <w:p w14:paraId="3F3DAC21">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3</w:t>
                  </w:r>
                </w:p>
              </w:tc>
              <w:tc>
                <w:tcPr>
                  <w:tcW w:w="709" w:type="dxa"/>
                  <w:vMerge w:val="continue"/>
                  <w:tcBorders>
                    <w:left w:val="nil"/>
                    <w:right w:val="single" w:color="auto" w:sz="4" w:space="0"/>
                  </w:tcBorders>
                  <w:noWrap w:val="0"/>
                  <w:vAlign w:val="center"/>
                </w:tcPr>
                <w:p w14:paraId="51D41505">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
                    </w:rPr>
                  </w:pPr>
                </w:p>
              </w:tc>
              <w:tc>
                <w:tcPr>
                  <w:tcW w:w="1843" w:type="dxa"/>
                  <w:tcBorders>
                    <w:top w:val="single" w:color="auto" w:sz="4" w:space="0"/>
                    <w:left w:val="nil"/>
                    <w:bottom w:val="single" w:color="auto" w:sz="4" w:space="0"/>
                    <w:right w:val="single" w:color="auto" w:sz="4" w:space="0"/>
                  </w:tcBorders>
                  <w:noWrap w:val="0"/>
                  <w:vAlign w:val="center"/>
                </w:tcPr>
                <w:p w14:paraId="39BA3B8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auto"/>
                      <w:kern w:val="2"/>
                      <w:sz w:val="21"/>
                      <w:szCs w:val="21"/>
                      <w:highlight w:val="none"/>
                      <w:lang w:val="en-US" w:eastAsia="zh-CN" w:bidi="ar"/>
                    </w:rPr>
                  </w:pPr>
                  <w:r>
                    <w:rPr>
                      <w:rFonts w:hint="eastAsia" w:ascii="Times New Roman" w:hAnsi="Times New Roman" w:eastAsia="宋体" w:cs="Times New Roman"/>
                      <w:b w:val="0"/>
                      <w:bCs w:val="0"/>
                      <w:color w:val="auto"/>
                      <w:kern w:val="2"/>
                      <w:sz w:val="21"/>
                      <w:szCs w:val="21"/>
                      <w:highlight w:val="none"/>
                      <w:lang w:val="en-US" w:eastAsia="zh-CN" w:bidi="ar"/>
                    </w:rPr>
                    <w:t>清洗剂废桶</w:t>
                  </w:r>
                </w:p>
              </w:tc>
              <w:tc>
                <w:tcPr>
                  <w:tcW w:w="2266" w:type="dxa"/>
                  <w:tcBorders>
                    <w:top w:val="single" w:color="auto" w:sz="4" w:space="0"/>
                    <w:left w:val="nil"/>
                    <w:bottom w:val="single" w:color="auto" w:sz="4" w:space="0"/>
                    <w:right w:val="single" w:color="auto" w:sz="4" w:space="0"/>
                  </w:tcBorders>
                  <w:noWrap w:val="0"/>
                  <w:vAlign w:val="center"/>
                </w:tcPr>
                <w:p w14:paraId="1902F329">
                  <w:pPr>
                    <w:keepNext w:val="0"/>
                    <w:keepLines w:val="0"/>
                    <w:widowControl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HW49其他废物</w:t>
                  </w:r>
                </w:p>
                <w:p w14:paraId="68ADF24B">
                  <w:pPr>
                    <w:keepNext w:val="0"/>
                    <w:keepLines w:val="0"/>
                    <w:widowControl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900-041-49</w:t>
                  </w:r>
                </w:p>
              </w:tc>
              <w:tc>
                <w:tcPr>
                  <w:tcW w:w="1121" w:type="dxa"/>
                  <w:tcBorders>
                    <w:top w:val="single" w:color="auto" w:sz="4" w:space="0"/>
                    <w:left w:val="nil"/>
                    <w:bottom w:val="single" w:color="auto" w:sz="4" w:space="0"/>
                    <w:right w:val="single" w:color="auto" w:sz="4" w:space="0"/>
                  </w:tcBorders>
                  <w:noWrap w:val="0"/>
                  <w:vAlign w:val="center"/>
                </w:tcPr>
                <w:p w14:paraId="466B629E">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有机溶剂</w:t>
                  </w:r>
                </w:p>
              </w:tc>
              <w:tc>
                <w:tcPr>
                  <w:tcW w:w="692" w:type="dxa"/>
                  <w:tcBorders>
                    <w:top w:val="single" w:color="auto" w:sz="4" w:space="0"/>
                    <w:left w:val="nil"/>
                    <w:bottom w:val="single" w:color="auto" w:sz="4" w:space="0"/>
                    <w:right w:val="single" w:color="auto" w:sz="4" w:space="0"/>
                  </w:tcBorders>
                  <w:noWrap w:val="0"/>
                  <w:vAlign w:val="center"/>
                </w:tcPr>
                <w:p w14:paraId="4A7D12D4">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固态</w:t>
                  </w:r>
                </w:p>
              </w:tc>
              <w:tc>
                <w:tcPr>
                  <w:tcW w:w="974" w:type="dxa"/>
                  <w:tcBorders>
                    <w:top w:val="single" w:color="auto" w:sz="4" w:space="0"/>
                    <w:left w:val="nil"/>
                    <w:bottom w:val="single" w:color="auto" w:sz="4" w:space="0"/>
                    <w:right w:val="single" w:color="auto" w:sz="4" w:space="0"/>
                  </w:tcBorders>
                  <w:noWrap w:val="0"/>
                  <w:vAlign w:val="center"/>
                </w:tcPr>
                <w:p w14:paraId="3CCCFA94">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T/In</w:t>
                  </w:r>
                </w:p>
              </w:tc>
              <w:tc>
                <w:tcPr>
                  <w:tcW w:w="1132" w:type="dxa"/>
                  <w:tcBorders>
                    <w:top w:val="single" w:color="auto" w:sz="4" w:space="0"/>
                    <w:left w:val="nil"/>
                    <w:bottom w:val="single" w:color="auto" w:sz="4" w:space="0"/>
                    <w:right w:val="single" w:color="auto" w:sz="4" w:space="0"/>
                  </w:tcBorders>
                  <w:noWrap w:val="0"/>
                  <w:vAlign w:val="center"/>
                </w:tcPr>
                <w:p w14:paraId="6F13C56F">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eastAsia" w:ascii="Times New Roman" w:hAnsi="Times New Roman" w:eastAsia="宋体" w:cs="Times New Roman"/>
                      <w:b w:val="0"/>
                      <w:bCs w:val="0"/>
                      <w:color w:val="auto"/>
                      <w:kern w:val="2"/>
                      <w:sz w:val="21"/>
                      <w:szCs w:val="21"/>
                      <w:highlight w:val="none"/>
                      <w:lang w:val="en-US" w:eastAsia="zh-CN" w:bidi="ar"/>
                    </w:rPr>
                  </w:pPr>
                  <w:r>
                    <w:rPr>
                      <w:rFonts w:hint="eastAsia" w:ascii="Times New Roman" w:hAnsi="Times New Roman" w:eastAsia="宋体" w:cs="Times New Roman"/>
                      <w:b w:val="0"/>
                      <w:bCs w:val="0"/>
                      <w:color w:val="auto"/>
                      <w:kern w:val="2"/>
                      <w:sz w:val="21"/>
                      <w:szCs w:val="21"/>
                      <w:highlight w:val="none"/>
                      <w:lang w:val="en-US" w:eastAsia="zh-CN" w:bidi="ar"/>
                    </w:rPr>
                    <w:t>0.005</w:t>
                  </w:r>
                </w:p>
              </w:tc>
              <w:tc>
                <w:tcPr>
                  <w:tcW w:w="1157" w:type="dxa"/>
                  <w:vMerge w:val="continue"/>
                  <w:tcBorders>
                    <w:left w:val="nil"/>
                    <w:right w:val="single" w:color="auto" w:sz="4" w:space="0"/>
                  </w:tcBorders>
                  <w:noWrap w:val="0"/>
                  <w:vAlign w:val="center"/>
                </w:tcPr>
                <w:p w14:paraId="7F7DC2BC">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rPr>
                  </w:pPr>
                </w:p>
              </w:tc>
              <w:tc>
                <w:tcPr>
                  <w:tcW w:w="1066" w:type="dxa"/>
                  <w:vMerge w:val="continue"/>
                  <w:tcBorders>
                    <w:left w:val="nil"/>
                    <w:right w:val="single" w:color="auto" w:sz="4" w:space="0"/>
                  </w:tcBorders>
                  <w:noWrap w:val="0"/>
                  <w:vAlign w:val="center"/>
                </w:tcPr>
                <w:p w14:paraId="53E8C6A3">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2BE88D0E">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eastAsia" w:ascii="Times New Roman" w:hAnsi="Times New Roman" w:eastAsia="宋体" w:cs="Times New Roman"/>
                      <w:b w:val="0"/>
                      <w:bCs w:val="0"/>
                      <w:color w:val="auto"/>
                      <w:kern w:val="2"/>
                      <w:sz w:val="21"/>
                      <w:szCs w:val="21"/>
                      <w:highlight w:val="none"/>
                      <w:lang w:val="en-US" w:eastAsia="zh-CN" w:bidi="ar"/>
                    </w:rPr>
                  </w:pPr>
                  <w:r>
                    <w:rPr>
                      <w:rFonts w:hint="eastAsia" w:ascii="Times New Roman" w:hAnsi="Times New Roman" w:eastAsia="宋体" w:cs="Times New Roman"/>
                      <w:b w:val="0"/>
                      <w:bCs w:val="0"/>
                      <w:color w:val="auto"/>
                      <w:kern w:val="2"/>
                      <w:sz w:val="21"/>
                      <w:szCs w:val="21"/>
                      <w:highlight w:val="none"/>
                      <w:lang w:val="en-US" w:eastAsia="zh-CN" w:bidi="ar"/>
                    </w:rPr>
                    <w:t>0.005</w:t>
                  </w:r>
                </w:p>
              </w:tc>
            </w:tr>
            <w:tr w14:paraId="1ACE71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91" w:type="dxa"/>
                  <w:tcBorders>
                    <w:top w:val="single" w:color="auto" w:sz="4" w:space="0"/>
                    <w:left w:val="single" w:color="auto" w:sz="8" w:space="0"/>
                    <w:bottom w:val="single" w:color="auto" w:sz="4" w:space="0"/>
                    <w:right w:val="single" w:color="auto" w:sz="4" w:space="0"/>
                  </w:tcBorders>
                  <w:shd w:val="clear" w:color="auto" w:fill="auto"/>
                  <w:noWrap w:val="0"/>
                  <w:vAlign w:val="center"/>
                </w:tcPr>
                <w:p w14:paraId="361B6BB1">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
                    </w:rPr>
                  </w:pPr>
                  <w:r>
                    <w:rPr>
                      <w:rFonts w:hint="eastAsia" w:cs="Times New Roman"/>
                      <w:color w:val="auto"/>
                      <w:kern w:val="2"/>
                      <w:sz w:val="21"/>
                      <w:szCs w:val="21"/>
                      <w:highlight w:val="none"/>
                      <w:lang w:val="en-US" w:eastAsia="zh-CN" w:bidi="ar"/>
                    </w:rPr>
                    <w:t>4</w:t>
                  </w:r>
                </w:p>
              </w:tc>
              <w:tc>
                <w:tcPr>
                  <w:tcW w:w="709" w:type="dxa"/>
                  <w:vMerge w:val="continue"/>
                  <w:tcBorders>
                    <w:left w:val="nil"/>
                    <w:right w:val="single" w:color="auto" w:sz="4" w:space="0"/>
                  </w:tcBorders>
                  <w:noWrap w:val="0"/>
                  <w:vAlign w:val="center"/>
                </w:tcPr>
                <w:p w14:paraId="7C4358A0">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
                    </w:rPr>
                  </w:pPr>
                </w:p>
              </w:tc>
              <w:tc>
                <w:tcPr>
                  <w:tcW w:w="1843" w:type="dxa"/>
                  <w:tcBorders>
                    <w:top w:val="single" w:color="auto" w:sz="4" w:space="0"/>
                    <w:left w:val="nil"/>
                    <w:bottom w:val="single" w:color="auto" w:sz="4" w:space="0"/>
                    <w:right w:val="single" w:color="auto" w:sz="4" w:space="0"/>
                  </w:tcBorders>
                  <w:noWrap w:val="0"/>
                  <w:vAlign w:val="center"/>
                </w:tcPr>
                <w:p w14:paraId="58F27075">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val="0"/>
                      <w:bCs w:val="0"/>
                      <w:color w:val="auto"/>
                      <w:kern w:val="2"/>
                      <w:sz w:val="21"/>
                      <w:szCs w:val="21"/>
                      <w:highlight w:val="none"/>
                      <w:lang w:val="en-US" w:eastAsia="zh-CN" w:bidi="ar"/>
                    </w:rPr>
                  </w:pPr>
                  <w:r>
                    <w:rPr>
                      <w:rFonts w:hint="eastAsia" w:cs="Times New Roman"/>
                      <w:b w:val="0"/>
                      <w:bCs w:val="0"/>
                      <w:color w:val="auto"/>
                      <w:kern w:val="2"/>
                      <w:sz w:val="21"/>
                      <w:szCs w:val="21"/>
                      <w:highlight w:val="none"/>
                      <w:lang w:val="en-US" w:eastAsia="zh-CN" w:bidi="ar"/>
                    </w:rPr>
                    <w:t>天那水</w:t>
                  </w:r>
                  <w:r>
                    <w:rPr>
                      <w:rFonts w:hint="eastAsia" w:ascii="Times New Roman" w:hAnsi="Times New Roman" w:eastAsia="宋体" w:cs="Times New Roman"/>
                      <w:b w:val="0"/>
                      <w:bCs w:val="0"/>
                      <w:color w:val="auto"/>
                      <w:kern w:val="2"/>
                      <w:sz w:val="21"/>
                      <w:szCs w:val="21"/>
                      <w:highlight w:val="none"/>
                      <w:lang w:val="en-US" w:eastAsia="zh-CN" w:bidi="ar"/>
                    </w:rPr>
                    <w:t>废桶</w:t>
                  </w:r>
                </w:p>
              </w:tc>
              <w:tc>
                <w:tcPr>
                  <w:tcW w:w="2266" w:type="dxa"/>
                  <w:tcBorders>
                    <w:top w:val="single" w:color="auto" w:sz="4" w:space="0"/>
                    <w:left w:val="nil"/>
                    <w:bottom w:val="single" w:color="auto" w:sz="4" w:space="0"/>
                    <w:right w:val="single" w:color="auto" w:sz="4" w:space="0"/>
                  </w:tcBorders>
                  <w:noWrap w:val="0"/>
                  <w:vAlign w:val="center"/>
                </w:tcPr>
                <w:p w14:paraId="3E271DFA">
                  <w:pPr>
                    <w:keepNext w:val="0"/>
                    <w:keepLines w:val="0"/>
                    <w:widowControl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HW49其他废物</w:t>
                  </w:r>
                </w:p>
                <w:p w14:paraId="4ABF40D4">
                  <w:pPr>
                    <w:keepNext w:val="0"/>
                    <w:keepLines w:val="0"/>
                    <w:widowControl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900-041-49</w:t>
                  </w:r>
                </w:p>
              </w:tc>
              <w:tc>
                <w:tcPr>
                  <w:tcW w:w="1121" w:type="dxa"/>
                  <w:tcBorders>
                    <w:top w:val="single" w:color="auto" w:sz="4" w:space="0"/>
                    <w:left w:val="nil"/>
                    <w:bottom w:val="single" w:color="auto" w:sz="4" w:space="0"/>
                    <w:right w:val="single" w:color="auto" w:sz="4" w:space="0"/>
                  </w:tcBorders>
                  <w:noWrap w:val="0"/>
                  <w:vAlign w:val="center"/>
                </w:tcPr>
                <w:p w14:paraId="7E02B9E4">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有机溶剂</w:t>
                  </w:r>
                </w:p>
              </w:tc>
              <w:tc>
                <w:tcPr>
                  <w:tcW w:w="692" w:type="dxa"/>
                  <w:tcBorders>
                    <w:top w:val="single" w:color="auto" w:sz="4" w:space="0"/>
                    <w:left w:val="nil"/>
                    <w:bottom w:val="single" w:color="auto" w:sz="4" w:space="0"/>
                    <w:right w:val="single" w:color="auto" w:sz="4" w:space="0"/>
                  </w:tcBorders>
                  <w:shd w:val="clear" w:color="auto" w:fill="auto"/>
                  <w:noWrap w:val="0"/>
                  <w:vAlign w:val="center"/>
                </w:tcPr>
                <w:p w14:paraId="34227531">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固态</w:t>
                  </w:r>
                </w:p>
              </w:tc>
              <w:tc>
                <w:tcPr>
                  <w:tcW w:w="974" w:type="dxa"/>
                  <w:tcBorders>
                    <w:top w:val="single" w:color="auto" w:sz="4" w:space="0"/>
                    <w:left w:val="nil"/>
                    <w:bottom w:val="single" w:color="auto" w:sz="4" w:space="0"/>
                    <w:right w:val="single" w:color="auto" w:sz="4" w:space="0"/>
                  </w:tcBorders>
                  <w:shd w:val="clear" w:color="auto" w:fill="auto"/>
                  <w:noWrap w:val="0"/>
                  <w:vAlign w:val="center"/>
                </w:tcPr>
                <w:p w14:paraId="559FE7C1">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T/In</w:t>
                  </w:r>
                </w:p>
              </w:tc>
              <w:tc>
                <w:tcPr>
                  <w:tcW w:w="1132" w:type="dxa"/>
                  <w:tcBorders>
                    <w:top w:val="single" w:color="auto" w:sz="4" w:space="0"/>
                    <w:left w:val="nil"/>
                    <w:bottom w:val="single" w:color="auto" w:sz="4" w:space="0"/>
                    <w:right w:val="single" w:color="auto" w:sz="4" w:space="0"/>
                  </w:tcBorders>
                  <w:noWrap w:val="0"/>
                  <w:vAlign w:val="center"/>
                </w:tcPr>
                <w:p w14:paraId="084392CA">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highlight w:val="none"/>
                      <w:lang w:val="en-US" w:eastAsia="zh-CN" w:bidi="ar"/>
                    </w:rPr>
                  </w:pPr>
                  <w:r>
                    <w:rPr>
                      <w:rFonts w:hint="eastAsia" w:cs="Times New Roman"/>
                      <w:b w:val="0"/>
                      <w:bCs w:val="0"/>
                      <w:color w:val="auto"/>
                      <w:kern w:val="2"/>
                      <w:sz w:val="21"/>
                      <w:szCs w:val="21"/>
                      <w:highlight w:val="none"/>
                      <w:lang w:val="en-US" w:eastAsia="zh-CN" w:bidi="ar"/>
                    </w:rPr>
                    <w:t>0.01</w:t>
                  </w:r>
                </w:p>
              </w:tc>
              <w:tc>
                <w:tcPr>
                  <w:tcW w:w="1157" w:type="dxa"/>
                  <w:vMerge w:val="continue"/>
                  <w:tcBorders>
                    <w:left w:val="nil"/>
                    <w:right w:val="single" w:color="auto" w:sz="4" w:space="0"/>
                  </w:tcBorders>
                  <w:noWrap w:val="0"/>
                  <w:vAlign w:val="center"/>
                </w:tcPr>
                <w:p w14:paraId="32AFC8E6">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rPr>
                  </w:pPr>
                </w:p>
              </w:tc>
              <w:tc>
                <w:tcPr>
                  <w:tcW w:w="1066" w:type="dxa"/>
                  <w:vMerge w:val="continue"/>
                  <w:tcBorders>
                    <w:left w:val="nil"/>
                    <w:right w:val="single" w:color="auto" w:sz="4" w:space="0"/>
                  </w:tcBorders>
                  <w:noWrap w:val="0"/>
                  <w:vAlign w:val="center"/>
                </w:tcPr>
                <w:p w14:paraId="2236E7F4">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6201299C">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highlight w:val="none"/>
                      <w:lang w:val="en-US" w:eastAsia="zh-CN" w:bidi="ar"/>
                    </w:rPr>
                  </w:pPr>
                  <w:r>
                    <w:rPr>
                      <w:rFonts w:hint="eastAsia" w:cs="Times New Roman"/>
                      <w:b w:val="0"/>
                      <w:bCs w:val="0"/>
                      <w:color w:val="auto"/>
                      <w:kern w:val="2"/>
                      <w:sz w:val="21"/>
                      <w:szCs w:val="21"/>
                      <w:highlight w:val="none"/>
                      <w:lang w:val="en-US" w:eastAsia="zh-CN" w:bidi="ar"/>
                    </w:rPr>
                    <w:t>0.01</w:t>
                  </w:r>
                </w:p>
              </w:tc>
            </w:tr>
            <w:tr w14:paraId="337FA6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91" w:type="dxa"/>
                  <w:tcBorders>
                    <w:top w:val="single" w:color="auto" w:sz="4" w:space="0"/>
                    <w:left w:val="single" w:color="auto" w:sz="8" w:space="0"/>
                    <w:bottom w:val="single" w:color="auto" w:sz="4" w:space="0"/>
                    <w:right w:val="single" w:color="auto" w:sz="4" w:space="0"/>
                  </w:tcBorders>
                  <w:shd w:val="clear" w:color="auto" w:fill="auto"/>
                  <w:noWrap w:val="0"/>
                  <w:vAlign w:val="center"/>
                </w:tcPr>
                <w:p w14:paraId="698C5F13">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5</w:t>
                  </w:r>
                </w:p>
              </w:tc>
              <w:tc>
                <w:tcPr>
                  <w:tcW w:w="709" w:type="dxa"/>
                  <w:vMerge w:val="continue"/>
                  <w:tcBorders>
                    <w:left w:val="nil"/>
                    <w:bottom w:val="single" w:color="auto" w:sz="4" w:space="0"/>
                    <w:right w:val="single" w:color="auto" w:sz="4" w:space="0"/>
                  </w:tcBorders>
                  <w:noWrap w:val="0"/>
                  <w:vAlign w:val="center"/>
                </w:tcPr>
                <w:p w14:paraId="3004EEFB">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
                    </w:rPr>
                  </w:pPr>
                </w:p>
              </w:tc>
              <w:tc>
                <w:tcPr>
                  <w:tcW w:w="1843" w:type="dxa"/>
                  <w:tcBorders>
                    <w:top w:val="single" w:color="auto" w:sz="4" w:space="0"/>
                    <w:left w:val="nil"/>
                    <w:bottom w:val="single" w:color="auto" w:sz="4" w:space="0"/>
                    <w:right w:val="single" w:color="auto" w:sz="4" w:space="0"/>
                  </w:tcBorders>
                  <w:noWrap w:val="0"/>
                  <w:vAlign w:val="center"/>
                </w:tcPr>
                <w:p w14:paraId="723825B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auto"/>
                      <w:kern w:val="2"/>
                      <w:sz w:val="21"/>
                      <w:szCs w:val="21"/>
                      <w:highlight w:val="none"/>
                      <w:lang w:val="en-US" w:eastAsia="zh-CN" w:bidi="ar"/>
                    </w:rPr>
                  </w:pPr>
                  <w:r>
                    <w:rPr>
                      <w:rFonts w:hint="eastAsia" w:ascii="Times New Roman" w:hAnsi="Times New Roman" w:eastAsia="宋体" w:cs="Times New Roman"/>
                      <w:b w:val="0"/>
                      <w:bCs w:val="0"/>
                      <w:color w:val="auto"/>
                      <w:kern w:val="2"/>
                      <w:sz w:val="21"/>
                      <w:szCs w:val="21"/>
                      <w:highlight w:val="none"/>
                      <w:lang w:val="en-US" w:eastAsia="zh-CN" w:bidi="ar"/>
                    </w:rPr>
                    <w:t>润版液废桶</w:t>
                  </w:r>
                </w:p>
              </w:tc>
              <w:tc>
                <w:tcPr>
                  <w:tcW w:w="2266" w:type="dxa"/>
                  <w:tcBorders>
                    <w:top w:val="single" w:color="auto" w:sz="4" w:space="0"/>
                    <w:left w:val="nil"/>
                    <w:bottom w:val="single" w:color="auto" w:sz="4" w:space="0"/>
                    <w:right w:val="single" w:color="auto" w:sz="4" w:space="0"/>
                  </w:tcBorders>
                  <w:noWrap w:val="0"/>
                  <w:vAlign w:val="center"/>
                </w:tcPr>
                <w:p w14:paraId="1054BD6D">
                  <w:pPr>
                    <w:keepNext w:val="0"/>
                    <w:keepLines w:val="0"/>
                    <w:widowControl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HW49其他废物</w:t>
                  </w:r>
                </w:p>
                <w:p w14:paraId="103712C1">
                  <w:pPr>
                    <w:keepNext w:val="0"/>
                    <w:keepLines w:val="0"/>
                    <w:widowControl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900-041-49</w:t>
                  </w:r>
                </w:p>
              </w:tc>
              <w:tc>
                <w:tcPr>
                  <w:tcW w:w="1121" w:type="dxa"/>
                  <w:tcBorders>
                    <w:top w:val="single" w:color="auto" w:sz="4" w:space="0"/>
                    <w:left w:val="nil"/>
                    <w:bottom w:val="single" w:color="auto" w:sz="4" w:space="0"/>
                    <w:right w:val="single" w:color="auto" w:sz="4" w:space="0"/>
                  </w:tcBorders>
                  <w:noWrap w:val="0"/>
                  <w:vAlign w:val="center"/>
                </w:tcPr>
                <w:p w14:paraId="30685E08">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润版液</w:t>
                  </w:r>
                </w:p>
              </w:tc>
              <w:tc>
                <w:tcPr>
                  <w:tcW w:w="692" w:type="dxa"/>
                  <w:tcBorders>
                    <w:top w:val="single" w:color="auto" w:sz="4" w:space="0"/>
                    <w:left w:val="nil"/>
                    <w:bottom w:val="single" w:color="auto" w:sz="4" w:space="0"/>
                    <w:right w:val="single" w:color="auto" w:sz="4" w:space="0"/>
                  </w:tcBorders>
                  <w:noWrap w:val="0"/>
                  <w:vAlign w:val="center"/>
                </w:tcPr>
                <w:p w14:paraId="6A8F97A9">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固态</w:t>
                  </w:r>
                </w:p>
              </w:tc>
              <w:tc>
                <w:tcPr>
                  <w:tcW w:w="974" w:type="dxa"/>
                  <w:tcBorders>
                    <w:top w:val="single" w:color="auto" w:sz="4" w:space="0"/>
                    <w:left w:val="nil"/>
                    <w:bottom w:val="single" w:color="auto" w:sz="4" w:space="0"/>
                    <w:right w:val="single" w:color="auto" w:sz="4" w:space="0"/>
                  </w:tcBorders>
                  <w:noWrap w:val="0"/>
                  <w:vAlign w:val="center"/>
                </w:tcPr>
                <w:p w14:paraId="7692F890">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T/In</w:t>
                  </w:r>
                </w:p>
              </w:tc>
              <w:tc>
                <w:tcPr>
                  <w:tcW w:w="1132" w:type="dxa"/>
                  <w:tcBorders>
                    <w:top w:val="single" w:color="auto" w:sz="4" w:space="0"/>
                    <w:left w:val="nil"/>
                    <w:bottom w:val="single" w:color="auto" w:sz="4" w:space="0"/>
                    <w:right w:val="single" w:color="auto" w:sz="4" w:space="0"/>
                  </w:tcBorders>
                  <w:noWrap w:val="0"/>
                  <w:vAlign w:val="center"/>
                </w:tcPr>
                <w:p w14:paraId="02E4CE8E">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eastAsia" w:ascii="Times New Roman" w:hAnsi="Times New Roman" w:eastAsia="宋体" w:cs="Times New Roman"/>
                      <w:b w:val="0"/>
                      <w:bCs w:val="0"/>
                      <w:color w:val="auto"/>
                      <w:kern w:val="2"/>
                      <w:sz w:val="21"/>
                      <w:szCs w:val="21"/>
                      <w:highlight w:val="none"/>
                      <w:lang w:val="en-US" w:eastAsia="zh-CN" w:bidi="ar"/>
                    </w:rPr>
                  </w:pPr>
                  <w:r>
                    <w:rPr>
                      <w:rFonts w:hint="eastAsia" w:ascii="Times New Roman" w:hAnsi="Times New Roman" w:eastAsia="宋体" w:cs="Times New Roman"/>
                      <w:b w:val="0"/>
                      <w:bCs w:val="0"/>
                      <w:color w:val="auto"/>
                      <w:kern w:val="2"/>
                      <w:sz w:val="21"/>
                      <w:szCs w:val="21"/>
                      <w:highlight w:val="none"/>
                      <w:lang w:val="en-US" w:eastAsia="zh-CN" w:bidi="ar"/>
                    </w:rPr>
                    <w:t>0.005</w:t>
                  </w:r>
                </w:p>
              </w:tc>
              <w:tc>
                <w:tcPr>
                  <w:tcW w:w="1157" w:type="dxa"/>
                  <w:vMerge w:val="continue"/>
                  <w:tcBorders>
                    <w:left w:val="nil"/>
                    <w:right w:val="single" w:color="auto" w:sz="4" w:space="0"/>
                  </w:tcBorders>
                  <w:noWrap w:val="0"/>
                  <w:vAlign w:val="center"/>
                </w:tcPr>
                <w:p w14:paraId="6CA9E0A7">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rPr>
                  </w:pPr>
                </w:p>
              </w:tc>
              <w:tc>
                <w:tcPr>
                  <w:tcW w:w="1066" w:type="dxa"/>
                  <w:vMerge w:val="continue"/>
                  <w:tcBorders>
                    <w:left w:val="nil"/>
                    <w:right w:val="single" w:color="auto" w:sz="4" w:space="0"/>
                  </w:tcBorders>
                  <w:noWrap w:val="0"/>
                  <w:vAlign w:val="center"/>
                </w:tcPr>
                <w:p w14:paraId="1419C070">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72CCF456">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eastAsia" w:ascii="Times New Roman" w:hAnsi="Times New Roman" w:eastAsia="宋体" w:cs="Times New Roman"/>
                      <w:b w:val="0"/>
                      <w:bCs w:val="0"/>
                      <w:color w:val="auto"/>
                      <w:kern w:val="2"/>
                      <w:sz w:val="21"/>
                      <w:szCs w:val="21"/>
                      <w:highlight w:val="none"/>
                      <w:lang w:val="en-US" w:eastAsia="zh-CN" w:bidi="ar"/>
                    </w:rPr>
                  </w:pPr>
                  <w:r>
                    <w:rPr>
                      <w:rFonts w:hint="eastAsia" w:ascii="Times New Roman" w:hAnsi="Times New Roman" w:eastAsia="宋体" w:cs="Times New Roman"/>
                      <w:b w:val="0"/>
                      <w:bCs w:val="0"/>
                      <w:color w:val="auto"/>
                      <w:kern w:val="2"/>
                      <w:sz w:val="21"/>
                      <w:szCs w:val="21"/>
                      <w:highlight w:val="none"/>
                      <w:lang w:val="en-US" w:eastAsia="zh-CN" w:bidi="ar"/>
                    </w:rPr>
                    <w:t>0.005</w:t>
                  </w:r>
                </w:p>
              </w:tc>
            </w:tr>
            <w:tr w14:paraId="62644A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691" w:type="dxa"/>
                  <w:tcBorders>
                    <w:top w:val="single" w:color="auto" w:sz="4" w:space="0"/>
                    <w:left w:val="single" w:color="auto" w:sz="8" w:space="0"/>
                    <w:bottom w:val="single" w:color="auto" w:sz="4" w:space="0"/>
                    <w:right w:val="single" w:color="auto" w:sz="4" w:space="0"/>
                  </w:tcBorders>
                  <w:shd w:val="clear" w:color="auto" w:fill="auto"/>
                  <w:noWrap w:val="0"/>
                  <w:vAlign w:val="center"/>
                </w:tcPr>
                <w:p w14:paraId="40E01345">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6</w:t>
                  </w:r>
                </w:p>
              </w:tc>
              <w:tc>
                <w:tcPr>
                  <w:tcW w:w="709" w:type="dxa"/>
                  <w:tcBorders>
                    <w:top w:val="single" w:color="auto" w:sz="4" w:space="0"/>
                    <w:left w:val="nil"/>
                    <w:bottom w:val="single" w:color="auto" w:sz="4" w:space="0"/>
                    <w:right w:val="single" w:color="auto" w:sz="4" w:space="0"/>
                  </w:tcBorders>
                  <w:noWrap w:val="0"/>
                  <w:vAlign w:val="center"/>
                </w:tcPr>
                <w:p w14:paraId="7036510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废气处理</w:t>
                  </w:r>
                </w:p>
              </w:tc>
              <w:tc>
                <w:tcPr>
                  <w:tcW w:w="1843" w:type="dxa"/>
                  <w:tcBorders>
                    <w:top w:val="single" w:color="auto" w:sz="4" w:space="0"/>
                    <w:left w:val="nil"/>
                    <w:bottom w:val="single" w:color="auto" w:sz="4" w:space="0"/>
                    <w:right w:val="single" w:color="auto" w:sz="4" w:space="0"/>
                  </w:tcBorders>
                  <w:noWrap w:val="0"/>
                  <w:vAlign w:val="center"/>
                </w:tcPr>
                <w:p w14:paraId="3452C0D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auto"/>
                      <w:kern w:val="2"/>
                      <w:sz w:val="21"/>
                      <w:szCs w:val="21"/>
                      <w:highlight w:val="none"/>
                      <w:lang w:val="en-US" w:eastAsia="zh-CN" w:bidi="ar"/>
                    </w:rPr>
                  </w:pPr>
                  <w:r>
                    <w:rPr>
                      <w:rFonts w:hint="eastAsia" w:ascii="Times New Roman" w:hAnsi="Times New Roman" w:eastAsia="宋体" w:cs="Times New Roman"/>
                      <w:b w:val="0"/>
                      <w:bCs w:val="0"/>
                      <w:color w:val="auto"/>
                      <w:kern w:val="2"/>
                      <w:sz w:val="21"/>
                      <w:szCs w:val="21"/>
                      <w:highlight w:val="none"/>
                      <w:lang w:val="en-US" w:eastAsia="zh-CN" w:bidi="ar"/>
                    </w:rPr>
                    <w:t>废活性炭</w:t>
                  </w:r>
                </w:p>
              </w:tc>
              <w:tc>
                <w:tcPr>
                  <w:tcW w:w="2266" w:type="dxa"/>
                  <w:tcBorders>
                    <w:top w:val="single" w:color="auto" w:sz="4" w:space="0"/>
                    <w:left w:val="nil"/>
                    <w:bottom w:val="single" w:color="auto" w:sz="4" w:space="0"/>
                    <w:right w:val="single" w:color="auto" w:sz="4" w:space="0"/>
                  </w:tcBorders>
                  <w:noWrap w:val="0"/>
                  <w:vAlign w:val="center"/>
                </w:tcPr>
                <w:p w14:paraId="20883468">
                  <w:pPr>
                    <w:keepNext w:val="0"/>
                    <w:keepLines w:val="0"/>
                    <w:widowControl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HW49其他废物</w:t>
                  </w:r>
                </w:p>
                <w:p w14:paraId="33566A2A">
                  <w:pPr>
                    <w:keepNext w:val="0"/>
                    <w:keepLines w:val="0"/>
                    <w:widowControl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900-039-49</w:t>
                  </w:r>
                </w:p>
              </w:tc>
              <w:tc>
                <w:tcPr>
                  <w:tcW w:w="1121" w:type="dxa"/>
                  <w:tcBorders>
                    <w:top w:val="single" w:color="auto" w:sz="4" w:space="0"/>
                    <w:left w:val="nil"/>
                    <w:bottom w:val="single" w:color="auto" w:sz="4" w:space="0"/>
                    <w:right w:val="single" w:color="auto" w:sz="4" w:space="0"/>
                  </w:tcBorders>
                  <w:noWrap w:val="0"/>
                  <w:vAlign w:val="center"/>
                </w:tcPr>
                <w:p w14:paraId="5DAEBBDC">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有机物</w:t>
                  </w:r>
                </w:p>
              </w:tc>
              <w:tc>
                <w:tcPr>
                  <w:tcW w:w="692" w:type="dxa"/>
                  <w:tcBorders>
                    <w:top w:val="single" w:color="auto" w:sz="4" w:space="0"/>
                    <w:left w:val="nil"/>
                    <w:bottom w:val="single" w:color="auto" w:sz="4" w:space="0"/>
                    <w:right w:val="single" w:color="auto" w:sz="4" w:space="0"/>
                  </w:tcBorders>
                  <w:noWrap w:val="0"/>
                  <w:vAlign w:val="center"/>
                </w:tcPr>
                <w:p w14:paraId="492750D6">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固态</w:t>
                  </w:r>
                </w:p>
              </w:tc>
              <w:tc>
                <w:tcPr>
                  <w:tcW w:w="974" w:type="dxa"/>
                  <w:tcBorders>
                    <w:top w:val="single" w:color="auto" w:sz="4" w:space="0"/>
                    <w:left w:val="nil"/>
                    <w:bottom w:val="single" w:color="auto" w:sz="4" w:space="0"/>
                    <w:right w:val="single" w:color="auto" w:sz="4" w:space="0"/>
                  </w:tcBorders>
                  <w:noWrap w:val="0"/>
                  <w:vAlign w:val="center"/>
                </w:tcPr>
                <w:p w14:paraId="7D92970F">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T</w:t>
                  </w:r>
                </w:p>
              </w:tc>
              <w:tc>
                <w:tcPr>
                  <w:tcW w:w="1132" w:type="dxa"/>
                  <w:tcBorders>
                    <w:top w:val="single" w:color="auto" w:sz="4" w:space="0"/>
                    <w:left w:val="nil"/>
                    <w:bottom w:val="single" w:color="auto" w:sz="4" w:space="0"/>
                    <w:right w:val="single" w:color="auto" w:sz="4" w:space="0"/>
                  </w:tcBorders>
                  <w:noWrap w:val="0"/>
                  <w:vAlign w:val="center"/>
                </w:tcPr>
                <w:p w14:paraId="79259BB6">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highlight w:val="none"/>
                      <w:lang w:val="en-US" w:eastAsia="zh-CN" w:bidi="ar"/>
                    </w:rPr>
                  </w:pPr>
                  <w:r>
                    <w:rPr>
                      <w:rFonts w:hint="eastAsia" w:cs="Times New Roman"/>
                      <w:b w:val="0"/>
                      <w:bCs w:val="0"/>
                      <w:color w:val="auto"/>
                      <w:kern w:val="2"/>
                      <w:sz w:val="21"/>
                      <w:szCs w:val="21"/>
                      <w:highlight w:val="none"/>
                      <w:lang w:val="en-US" w:eastAsia="zh-CN" w:bidi="ar"/>
                    </w:rPr>
                    <w:t>4.594</w:t>
                  </w:r>
                </w:p>
              </w:tc>
              <w:tc>
                <w:tcPr>
                  <w:tcW w:w="1157" w:type="dxa"/>
                  <w:vMerge w:val="continue"/>
                  <w:tcBorders>
                    <w:left w:val="nil"/>
                    <w:right w:val="single" w:color="auto" w:sz="4" w:space="0"/>
                  </w:tcBorders>
                  <w:noWrap w:val="0"/>
                  <w:vAlign w:val="center"/>
                </w:tcPr>
                <w:p w14:paraId="663086DD">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rPr>
                  </w:pPr>
                </w:p>
              </w:tc>
              <w:tc>
                <w:tcPr>
                  <w:tcW w:w="1066" w:type="dxa"/>
                  <w:vMerge w:val="continue"/>
                  <w:tcBorders>
                    <w:left w:val="nil"/>
                    <w:right w:val="single" w:color="auto" w:sz="4" w:space="0"/>
                  </w:tcBorders>
                  <w:noWrap w:val="0"/>
                  <w:vAlign w:val="center"/>
                </w:tcPr>
                <w:p w14:paraId="03B42AB8">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1738C25B">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highlight w:val="none"/>
                      <w:lang w:val="en-US" w:eastAsia="zh-CN" w:bidi="ar"/>
                    </w:rPr>
                  </w:pPr>
                  <w:r>
                    <w:rPr>
                      <w:rFonts w:hint="eastAsia" w:cs="Times New Roman"/>
                      <w:b w:val="0"/>
                      <w:bCs w:val="0"/>
                      <w:color w:val="auto"/>
                      <w:kern w:val="2"/>
                      <w:sz w:val="21"/>
                      <w:szCs w:val="21"/>
                      <w:highlight w:val="none"/>
                      <w:lang w:val="en-US" w:eastAsia="zh-CN" w:bidi="ar"/>
                    </w:rPr>
                    <w:t>4.594</w:t>
                  </w:r>
                </w:p>
              </w:tc>
            </w:tr>
            <w:tr w14:paraId="7E86E1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91" w:type="dxa"/>
                  <w:tcBorders>
                    <w:top w:val="single" w:color="auto" w:sz="4" w:space="0"/>
                    <w:left w:val="single" w:color="auto" w:sz="8" w:space="0"/>
                    <w:bottom w:val="single" w:color="auto" w:sz="4" w:space="0"/>
                    <w:right w:val="single" w:color="auto" w:sz="4" w:space="0"/>
                  </w:tcBorders>
                  <w:shd w:val="clear" w:color="auto" w:fill="auto"/>
                  <w:noWrap w:val="0"/>
                  <w:vAlign w:val="center"/>
                </w:tcPr>
                <w:p w14:paraId="1B9A69F6">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7</w:t>
                  </w:r>
                </w:p>
              </w:tc>
              <w:tc>
                <w:tcPr>
                  <w:tcW w:w="709" w:type="dxa"/>
                  <w:tcBorders>
                    <w:top w:val="single" w:color="auto" w:sz="4" w:space="0"/>
                    <w:left w:val="nil"/>
                    <w:bottom w:val="single" w:color="auto" w:sz="4" w:space="0"/>
                    <w:right w:val="single" w:color="auto" w:sz="4" w:space="0"/>
                  </w:tcBorders>
                  <w:noWrap w:val="0"/>
                  <w:vAlign w:val="center"/>
                </w:tcPr>
                <w:p w14:paraId="28755FC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油墨清洗</w:t>
                  </w:r>
                </w:p>
              </w:tc>
              <w:tc>
                <w:tcPr>
                  <w:tcW w:w="1843" w:type="dxa"/>
                  <w:tcBorders>
                    <w:top w:val="single" w:color="auto" w:sz="4" w:space="0"/>
                    <w:left w:val="nil"/>
                    <w:bottom w:val="single" w:color="auto" w:sz="4" w:space="0"/>
                    <w:right w:val="single" w:color="auto" w:sz="4" w:space="0"/>
                  </w:tcBorders>
                  <w:noWrap w:val="0"/>
                  <w:vAlign w:val="center"/>
                </w:tcPr>
                <w:p w14:paraId="7529DCD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auto"/>
                      <w:kern w:val="2"/>
                      <w:sz w:val="21"/>
                      <w:szCs w:val="21"/>
                      <w:highlight w:val="none"/>
                      <w:lang w:val="en-US" w:eastAsia="zh-CN" w:bidi="ar"/>
                    </w:rPr>
                  </w:pPr>
                  <w:r>
                    <w:rPr>
                      <w:rFonts w:hint="eastAsia" w:ascii="Times New Roman" w:hAnsi="Times New Roman" w:eastAsia="宋体" w:cs="Times New Roman"/>
                      <w:b w:val="0"/>
                      <w:bCs w:val="0"/>
                      <w:color w:val="auto"/>
                      <w:kern w:val="2"/>
                      <w:sz w:val="21"/>
                      <w:szCs w:val="21"/>
                      <w:highlight w:val="none"/>
                      <w:lang w:val="en-US" w:eastAsia="zh-CN" w:bidi="ar"/>
                    </w:rPr>
                    <w:t>废抹布、废橡皮布</w:t>
                  </w:r>
                </w:p>
              </w:tc>
              <w:tc>
                <w:tcPr>
                  <w:tcW w:w="2266" w:type="dxa"/>
                  <w:tcBorders>
                    <w:top w:val="single" w:color="auto" w:sz="4" w:space="0"/>
                    <w:left w:val="nil"/>
                    <w:bottom w:val="single" w:color="auto" w:sz="4" w:space="0"/>
                    <w:right w:val="single" w:color="auto" w:sz="4" w:space="0"/>
                  </w:tcBorders>
                  <w:noWrap w:val="0"/>
                  <w:vAlign w:val="center"/>
                </w:tcPr>
                <w:p w14:paraId="2DC866D4">
                  <w:pPr>
                    <w:keepNext w:val="0"/>
                    <w:keepLines w:val="0"/>
                    <w:widowControl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HW49其他废物</w:t>
                  </w:r>
                </w:p>
                <w:p w14:paraId="3C9502DB">
                  <w:pPr>
                    <w:keepNext w:val="0"/>
                    <w:keepLines w:val="0"/>
                    <w:widowControl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900-039-49</w:t>
                  </w:r>
                </w:p>
              </w:tc>
              <w:tc>
                <w:tcPr>
                  <w:tcW w:w="1121" w:type="dxa"/>
                  <w:tcBorders>
                    <w:top w:val="single" w:color="auto" w:sz="4" w:space="0"/>
                    <w:left w:val="nil"/>
                    <w:bottom w:val="single" w:color="auto" w:sz="4" w:space="0"/>
                    <w:right w:val="single" w:color="auto" w:sz="4" w:space="0"/>
                  </w:tcBorders>
                  <w:noWrap w:val="0"/>
                  <w:vAlign w:val="center"/>
                </w:tcPr>
                <w:p w14:paraId="1DD11538">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油墨</w:t>
                  </w:r>
                </w:p>
              </w:tc>
              <w:tc>
                <w:tcPr>
                  <w:tcW w:w="692" w:type="dxa"/>
                  <w:tcBorders>
                    <w:top w:val="single" w:color="auto" w:sz="4" w:space="0"/>
                    <w:left w:val="nil"/>
                    <w:bottom w:val="single" w:color="auto" w:sz="4" w:space="0"/>
                    <w:right w:val="single" w:color="auto" w:sz="4" w:space="0"/>
                  </w:tcBorders>
                  <w:noWrap w:val="0"/>
                  <w:vAlign w:val="center"/>
                </w:tcPr>
                <w:p w14:paraId="73A4B281">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固态</w:t>
                  </w:r>
                </w:p>
              </w:tc>
              <w:tc>
                <w:tcPr>
                  <w:tcW w:w="974" w:type="dxa"/>
                  <w:tcBorders>
                    <w:top w:val="single" w:color="auto" w:sz="4" w:space="0"/>
                    <w:left w:val="nil"/>
                    <w:bottom w:val="single" w:color="auto" w:sz="4" w:space="0"/>
                    <w:right w:val="single" w:color="auto" w:sz="4" w:space="0"/>
                  </w:tcBorders>
                  <w:noWrap w:val="0"/>
                  <w:vAlign w:val="center"/>
                </w:tcPr>
                <w:p w14:paraId="16E66ABF">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T</w:t>
                  </w:r>
                </w:p>
              </w:tc>
              <w:tc>
                <w:tcPr>
                  <w:tcW w:w="1132" w:type="dxa"/>
                  <w:tcBorders>
                    <w:top w:val="single" w:color="auto" w:sz="4" w:space="0"/>
                    <w:left w:val="nil"/>
                    <w:bottom w:val="single" w:color="auto" w:sz="4" w:space="0"/>
                    <w:right w:val="single" w:color="auto" w:sz="4" w:space="0"/>
                  </w:tcBorders>
                  <w:noWrap w:val="0"/>
                  <w:vAlign w:val="center"/>
                </w:tcPr>
                <w:p w14:paraId="62731C35">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highlight w:val="none"/>
                      <w:lang w:val="en-US" w:eastAsia="zh-CN" w:bidi="ar"/>
                    </w:rPr>
                  </w:pPr>
                  <w:r>
                    <w:rPr>
                      <w:rFonts w:hint="eastAsia" w:cs="Times New Roman"/>
                      <w:b w:val="0"/>
                      <w:bCs w:val="0"/>
                      <w:color w:val="auto"/>
                      <w:kern w:val="2"/>
                      <w:sz w:val="21"/>
                      <w:szCs w:val="21"/>
                      <w:highlight w:val="none"/>
                      <w:lang w:val="en-US" w:eastAsia="zh-CN" w:bidi="ar"/>
                    </w:rPr>
                    <w:t>0.05</w:t>
                  </w:r>
                </w:p>
              </w:tc>
              <w:tc>
                <w:tcPr>
                  <w:tcW w:w="1157" w:type="dxa"/>
                  <w:vMerge w:val="continue"/>
                  <w:tcBorders>
                    <w:left w:val="nil"/>
                    <w:right w:val="single" w:color="auto" w:sz="4" w:space="0"/>
                  </w:tcBorders>
                  <w:noWrap w:val="0"/>
                  <w:vAlign w:val="center"/>
                </w:tcPr>
                <w:p w14:paraId="5FBC878C">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rPr>
                  </w:pPr>
                </w:p>
              </w:tc>
              <w:tc>
                <w:tcPr>
                  <w:tcW w:w="1066" w:type="dxa"/>
                  <w:vMerge w:val="continue"/>
                  <w:tcBorders>
                    <w:left w:val="nil"/>
                    <w:right w:val="single" w:color="auto" w:sz="4" w:space="0"/>
                  </w:tcBorders>
                  <w:noWrap w:val="0"/>
                  <w:vAlign w:val="center"/>
                </w:tcPr>
                <w:p w14:paraId="26BF6A11">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5EC3E6CC">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highlight w:val="none"/>
                      <w:lang w:val="en-US" w:eastAsia="zh-CN" w:bidi="ar"/>
                    </w:rPr>
                  </w:pPr>
                  <w:r>
                    <w:rPr>
                      <w:rFonts w:hint="eastAsia" w:cs="Times New Roman"/>
                      <w:b w:val="0"/>
                      <w:bCs w:val="0"/>
                      <w:color w:val="auto"/>
                      <w:kern w:val="2"/>
                      <w:sz w:val="21"/>
                      <w:szCs w:val="21"/>
                      <w:highlight w:val="none"/>
                      <w:lang w:val="en-US" w:eastAsia="zh-CN" w:bidi="ar"/>
                    </w:rPr>
                    <w:t>0.05</w:t>
                  </w:r>
                </w:p>
              </w:tc>
            </w:tr>
            <w:tr w14:paraId="011C01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91" w:type="dxa"/>
                  <w:tcBorders>
                    <w:top w:val="single" w:color="auto" w:sz="4" w:space="0"/>
                    <w:left w:val="single" w:color="auto" w:sz="8" w:space="0"/>
                    <w:bottom w:val="single" w:color="auto" w:sz="4" w:space="0"/>
                    <w:right w:val="single" w:color="auto" w:sz="4" w:space="0"/>
                  </w:tcBorders>
                  <w:shd w:val="clear" w:color="auto" w:fill="auto"/>
                  <w:noWrap w:val="0"/>
                  <w:vAlign w:val="center"/>
                </w:tcPr>
                <w:p w14:paraId="758D98D9">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8</w:t>
                  </w:r>
                </w:p>
              </w:tc>
              <w:tc>
                <w:tcPr>
                  <w:tcW w:w="709" w:type="dxa"/>
                  <w:tcBorders>
                    <w:top w:val="single" w:color="auto" w:sz="4" w:space="0"/>
                    <w:left w:val="nil"/>
                    <w:bottom w:val="single" w:color="auto" w:sz="4" w:space="0"/>
                    <w:right w:val="single" w:color="auto" w:sz="4" w:space="0"/>
                  </w:tcBorders>
                  <w:noWrap w:val="0"/>
                  <w:vAlign w:val="center"/>
                </w:tcPr>
                <w:p w14:paraId="6EA184B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印刷</w:t>
                  </w:r>
                </w:p>
              </w:tc>
              <w:tc>
                <w:tcPr>
                  <w:tcW w:w="1843" w:type="dxa"/>
                  <w:tcBorders>
                    <w:top w:val="single" w:color="auto" w:sz="4" w:space="0"/>
                    <w:left w:val="nil"/>
                    <w:bottom w:val="single" w:color="auto" w:sz="4" w:space="0"/>
                    <w:right w:val="single" w:color="auto" w:sz="4" w:space="0"/>
                  </w:tcBorders>
                  <w:noWrap w:val="0"/>
                  <w:vAlign w:val="center"/>
                </w:tcPr>
                <w:p w14:paraId="2C5B2E6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auto"/>
                      <w:kern w:val="2"/>
                      <w:sz w:val="21"/>
                      <w:szCs w:val="21"/>
                      <w:highlight w:val="none"/>
                      <w:lang w:val="en-US" w:eastAsia="zh-CN" w:bidi="ar"/>
                    </w:rPr>
                  </w:pPr>
                  <w:r>
                    <w:rPr>
                      <w:rFonts w:hint="eastAsia" w:ascii="Times New Roman" w:hAnsi="Times New Roman" w:eastAsia="宋体" w:cs="Times New Roman"/>
                      <w:b w:val="0"/>
                      <w:bCs w:val="0"/>
                      <w:color w:val="auto"/>
                      <w:kern w:val="2"/>
                      <w:sz w:val="21"/>
                      <w:szCs w:val="21"/>
                      <w:highlight w:val="none"/>
                      <w:lang w:val="en-US" w:eastAsia="zh-CN" w:bidi="ar"/>
                    </w:rPr>
                    <w:t>废油墨渣</w:t>
                  </w:r>
                </w:p>
              </w:tc>
              <w:tc>
                <w:tcPr>
                  <w:tcW w:w="2266" w:type="dxa"/>
                  <w:tcBorders>
                    <w:top w:val="single" w:color="auto" w:sz="4" w:space="0"/>
                    <w:left w:val="nil"/>
                    <w:bottom w:val="single" w:color="auto" w:sz="4" w:space="0"/>
                    <w:right w:val="single" w:color="auto" w:sz="4" w:space="0"/>
                  </w:tcBorders>
                  <w:noWrap w:val="0"/>
                  <w:vAlign w:val="center"/>
                </w:tcPr>
                <w:p w14:paraId="38E14AA4">
                  <w:pPr>
                    <w:keepNext w:val="0"/>
                    <w:keepLines w:val="0"/>
                    <w:widowControl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HW12染料、涂料废物</w:t>
                  </w:r>
                </w:p>
                <w:p w14:paraId="1842DADB">
                  <w:pPr>
                    <w:keepNext w:val="0"/>
                    <w:keepLines w:val="0"/>
                    <w:widowControl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900-253-12</w:t>
                  </w:r>
                </w:p>
              </w:tc>
              <w:tc>
                <w:tcPr>
                  <w:tcW w:w="1121" w:type="dxa"/>
                  <w:tcBorders>
                    <w:top w:val="single" w:color="auto" w:sz="4" w:space="0"/>
                    <w:left w:val="nil"/>
                    <w:bottom w:val="single" w:color="auto" w:sz="4" w:space="0"/>
                    <w:right w:val="single" w:color="auto" w:sz="4" w:space="0"/>
                  </w:tcBorders>
                  <w:noWrap w:val="0"/>
                  <w:vAlign w:val="center"/>
                </w:tcPr>
                <w:p w14:paraId="7CA60C10">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油墨</w:t>
                  </w:r>
                </w:p>
              </w:tc>
              <w:tc>
                <w:tcPr>
                  <w:tcW w:w="692" w:type="dxa"/>
                  <w:tcBorders>
                    <w:top w:val="single" w:color="auto" w:sz="4" w:space="0"/>
                    <w:left w:val="nil"/>
                    <w:bottom w:val="single" w:color="auto" w:sz="4" w:space="0"/>
                    <w:right w:val="single" w:color="auto" w:sz="4" w:space="0"/>
                  </w:tcBorders>
                  <w:noWrap w:val="0"/>
                  <w:vAlign w:val="center"/>
                </w:tcPr>
                <w:p w14:paraId="6D1F68BC">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固态</w:t>
                  </w:r>
                </w:p>
              </w:tc>
              <w:tc>
                <w:tcPr>
                  <w:tcW w:w="974" w:type="dxa"/>
                  <w:tcBorders>
                    <w:top w:val="single" w:color="auto" w:sz="4" w:space="0"/>
                    <w:left w:val="nil"/>
                    <w:bottom w:val="single" w:color="auto" w:sz="4" w:space="0"/>
                    <w:right w:val="single" w:color="auto" w:sz="4" w:space="0"/>
                  </w:tcBorders>
                  <w:noWrap w:val="0"/>
                  <w:vAlign w:val="center"/>
                </w:tcPr>
                <w:p w14:paraId="5B2B7DF7">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T，I</w:t>
                  </w:r>
                </w:p>
              </w:tc>
              <w:tc>
                <w:tcPr>
                  <w:tcW w:w="1132" w:type="dxa"/>
                  <w:tcBorders>
                    <w:top w:val="single" w:color="auto" w:sz="4" w:space="0"/>
                    <w:left w:val="nil"/>
                    <w:bottom w:val="single" w:color="auto" w:sz="4" w:space="0"/>
                    <w:right w:val="single" w:color="auto" w:sz="4" w:space="0"/>
                  </w:tcBorders>
                  <w:noWrap w:val="0"/>
                  <w:vAlign w:val="center"/>
                </w:tcPr>
                <w:p w14:paraId="054A1160">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highlight w:val="none"/>
                      <w:lang w:val="en-US" w:eastAsia="zh-CN" w:bidi="ar"/>
                    </w:rPr>
                  </w:pPr>
                  <w:r>
                    <w:rPr>
                      <w:rFonts w:hint="eastAsia" w:cs="Times New Roman"/>
                      <w:b w:val="0"/>
                      <w:bCs w:val="0"/>
                      <w:color w:val="auto"/>
                      <w:kern w:val="2"/>
                      <w:sz w:val="21"/>
                      <w:szCs w:val="21"/>
                      <w:highlight w:val="none"/>
                      <w:lang w:val="en-US" w:eastAsia="zh-CN" w:bidi="ar"/>
                    </w:rPr>
                    <w:t>0.05</w:t>
                  </w:r>
                </w:p>
              </w:tc>
              <w:tc>
                <w:tcPr>
                  <w:tcW w:w="1157" w:type="dxa"/>
                  <w:vMerge w:val="continue"/>
                  <w:tcBorders>
                    <w:left w:val="nil"/>
                    <w:right w:val="single" w:color="auto" w:sz="4" w:space="0"/>
                  </w:tcBorders>
                  <w:noWrap w:val="0"/>
                  <w:vAlign w:val="center"/>
                </w:tcPr>
                <w:p w14:paraId="2B275185">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rPr>
                  </w:pPr>
                </w:p>
              </w:tc>
              <w:tc>
                <w:tcPr>
                  <w:tcW w:w="1066" w:type="dxa"/>
                  <w:vMerge w:val="continue"/>
                  <w:tcBorders>
                    <w:left w:val="nil"/>
                    <w:right w:val="single" w:color="auto" w:sz="4" w:space="0"/>
                  </w:tcBorders>
                  <w:noWrap w:val="0"/>
                  <w:vAlign w:val="center"/>
                </w:tcPr>
                <w:p w14:paraId="37D4EDDF">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4DCD85A4">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highlight w:val="none"/>
                      <w:lang w:val="en-US" w:eastAsia="zh-CN" w:bidi="ar"/>
                    </w:rPr>
                  </w:pPr>
                  <w:r>
                    <w:rPr>
                      <w:rFonts w:hint="eastAsia" w:cs="Times New Roman"/>
                      <w:b w:val="0"/>
                      <w:bCs w:val="0"/>
                      <w:color w:val="auto"/>
                      <w:kern w:val="2"/>
                      <w:sz w:val="21"/>
                      <w:szCs w:val="21"/>
                      <w:highlight w:val="none"/>
                      <w:lang w:val="en-US" w:eastAsia="zh-CN" w:bidi="ar"/>
                    </w:rPr>
                    <w:t>0.05</w:t>
                  </w:r>
                </w:p>
              </w:tc>
            </w:tr>
            <w:tr w14:paraId="13AF5B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91" w:type="dxa"/>
                  <w:tcBorders>
                    <w:top w:val="single" w:color="auto" w:sz="4" w:space="0"/>
                    <w:left w:val="single" w:color="auto" w:sz="8" w:space="0"/>
                    <w:bottom w:val="single" w:color="auto" w:sz="4" w:space="0"/>
                    <w:right w:val="single" w:color="auto" w:sz="4" w:space="0"/>
                  </w:tcBorders>
                  <w:shd w:val="clear" w:color="auto" w:fill="auto"/>
                  <w:noWrap w:val="0"/>
                  <w:vAlign w:val="center"/>
                </w:tcPr>
                <w:p w14:paraId="1475162B">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9</w:t>
                  </w:r>
                </w:p>
              </w:tc>
              <w:tc>
                <w:tcPr>
                  <w:tcW w:w="709" w:type="dxa"/>
                  <w:tcBorders>
                    <w:top w:val="single" w:color="auto" w:sz="4" w:space="0"/>
                    <w:left w:val="nil"/>
                    <w:bottom w:val="single" w:color="auto" w:sz="4" w:space="0"/>
                    <w:right w:val="single" w:color="auto" w:sz="4" w:space="0"/>
                  </w:tcBorders>
                  <w:noWrap w:val="0"/>
                  <w:vAlign w:val="center"/>
                </w:tcPr>
                <w:p w14:paraId="2E1C6C7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设备保养</w:t>
                  </w:r>
                </w:p>
              </w:tc>
              <w:tc>
                <w:tcPr>
                  <w:tcW w:w="1843" w:type="dxa"/>
                  <w:tcBorders>
                    <w:top w:val="single" w:color="auto" w:sz="4" w:space="0"/>
                    <w:left w:val="nil"/>
                    <w:bottom w:val="single" w:color="auto" w:sz="4" w:space="0"/>
                    <w:right w:val="single" w:color="auto" w:sz="4" w:space="0"/>
                  </w:tcBorders>
                  <w:noWrap w:val="0"/>
                  <w:vAlign w:val="center"/>
                </w:tcPr>
                <w:p w14:paraId="31F83B3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auto"/>
                      <w:kern w:val="2"/>
                      <w:sz w:val="21"/>
                      <w:szCs w:val="21"/>
                      <w:highlight w:val="none"/>
                      <w:lang w:val="en-US" w:eastAsia="zh-CN" w:bidi="ar"/>
                    </w:rPr>
                  </w:pPr>
                  <w:r>
                    <w:rPr>
                      <w:rFonts w:hint="eastAsia" w:ascii="Times New Roman" w:hAnsi="Times New Roman" w:eastAsia="宋体" w:cs="Times New Roman"/>
                      <w:b w:val="0"/>
                      <w:bCs w:val="0"/>
                      <w:color w:val="auto"/>
                      <w:kern w:val="2"/>
                      <w:sz w:val="21"/>
                      <w:szCs w:val="21"/>
                      <w:highlight w:val="none"/>
                      <w:lang w:val="en-US" w:eastAsia="zh-CN" w:bidi="ar"/>
                    </w:rPr>
                    <w:t>废机油</w:t>
                  </w:r>
                </w:p>
              </w:tc>
              <w:tc>
                <w:tcPr>
                  <w:tcW w:w="2266" w:type="dxa"/>
                  <w:tcBorders>
                    <w:top w:val="single" w:color="auto" w:sz="4" w:space="0"/>
                    <w:left w:val="nil"/>
                    <w:bottom w:val="single" w:color="auto" w:sz="4" w:space="0"/>
                    <w:right w:val="single" w:color="auto" w:sz="4" w:space="0"/>
                  </w:tcBorders>
                  <w:noWrap w:val="0"/>
                  <w:vAlign w:val="center"/>
                </w:tcPr>
                <w:p w14:paraId="155A136A">
                  <w:pPr>
                    <w:keepNext w:val="0"/>
                    <w:keepLines w:val="0"/>
                    <w:widowControl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HW08废矿物油及含矿物油废物</w:t>
                  </w:r>
                </w:p>
                <w:p w14:paraId="121EAC2E">
                  <w:pPr>
                    <w:keepNext w:val="0"/>
                    <w:keepLines w:val="0"/>
                    <w:widowControl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900-249-08</w:t>
                  </w:r>
                </w:p>
              </w:tc>
              <w:tc>
                <w:tcPr>
                  <w:tcW w:w="1121" w:type="dxa"/>
                  <w:tcBorders>
                    <w:top w:val="single" w:color="auto" w:sz="4" w:space="0"/>
                    <w:left w:val="nil"/>
                    <w:bottom w:val="single" w:color="auto" w:sz="4" w:space="0"/>
                    <w:right w:val="single" w:color="auto" w:sz="4" w:space="0"/>
                  </w:tcBorders>
                  <w:noWrap w:val="0"/>
                  <w:vAlign w:val="center"/>
                </w:tcPr>
                <w:p w14:paraId="2D3C3385">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机油</w:t>
                  </w:r>
                </w:p>
              </w:tc>
              <w:tc>
                <w:tcPr>
                  <w:tcW w:w="692" w:type="dxa"/>
                  <w:tcBorders>
                    <w:top w:val="single" w:color="auto" w:sz="4" w:space="0"/>
                    <w:left w:val="nil"/>
                    <w:bottom w:val="single" w:color="auto" w:sz="4" w:space="0"/>
                    <w:right w:val="single" w:color="auto" w:sz="4" w:space="0"/>
                  </w:tcBorders>
                  <w:noWrap w:val="0"/>
                  <w:vAlign w:val="center"/>
                </w:tcPr>
                <w:p w14:paraId="36709DA6">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液态</w:t>
                  </w:r>
                </w:p>
              </w:tc>
              <w:tc>
                <w:tcPr>
                  <w:tcW w:w="974" w:type="dxa"/>
                  <w:tcBorders>
                    <w:top w:val="single" w:color="auto" w:sz="4" w:space="0"/>
                    <w:left w:val="nil"/>
                    <w:bottom w:val="single" w:color="auto" w:sz="4" w:space="0"/>
                    <w:right w:val="single" w:color="auto" w:sz="4" w:space="0"/>
                  </w:tcBorders>
                  <w:noWrap w:val="0"/>
                  <w:vAlign w:val="center"/>
                </w:tcPr>
                <w:p w14:paraId="6B9D55DD">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T，I</w:t>
                  </w:r>
                </w:p>
              </w:tc>
              <w:tc>
                <w:tcPr>
                  <w:tcW w:w="1132" w:type="dxa"/>
                  <w:tcBorders>
                    <w:top w:val="single" w:color="auto" w:sz="4" w:space="0"/>
                    <w:left w:val="nil"/>
                    <w:bottom w:val="single" w:color="auto" w:sz="4" w:space="0"/>
                    <w:right w:val="single" w:color="auto" w:sz="4" w:space="0"/>
                  </w:tcBorders>
                  <w:noWrap w:val="0"/>
                  <w:vAlign w:val="center"/>
                </w:tcPr>
                <w:p w14:paraId="3A9AEF80">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highlight w:val="none"/>
                      <w:lang w:val="en-US" w:eastAsia="zh-CN" w:bidi="ar"/>
                    </w:rPr>
                  </w:pPr>
                  <w:r>
                    <w:rPr>
                      <w:rFonts w:hint="eastAsia" w:cs="Times New Roman"/>
                      <w:b w:val="0"/>
                      <w:bCs w:val="0"/>
                      <w:color w:val="auto"/>
                      <w:kern w:val="2"/>
                      <w:sz w:val="21"/>
                      <w:szCs w:val="21"/>
                      <w:highlight w:val="none"/>
                      <w:lang w:val="en-US" w:eastAsia="zh-CN" w:bidi="ar"/>
                    </w:rPr>
                    <w:t>0.02</w:t>
                  </w:r>
                </w:p>
              </w:tc>
              <w:tc>
                <w:tcPr>
                  <w:tcW w:w="1157" w:type="dxa"/>
                  <w:vMerge w:val="continue"/>
                  <w:tcBorders>
                    <w:left w:val="nil"/>
                    <w:right w:val="single" w:color="auto" w:sz="4" w:space="0"/>
                  </w:tcBorders>
                  <w:noWrap w:val="0"/>
                  <w:vAlign w:val="center"/>
                </w:tcPr>
                <w:p w14:paraId="2F388ED1">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rPr>
                  </w:pPr>
                </w:p>
              </w:tc>
              <w:tc>
                <w:tcPr>
                  <w:tcW w:w="1066" w:type="dxa"/>
                  <w:vMerge w:val="continue"/>
                  <w:tcBorders>
                    <w:left w:val="nil"/>
                    <w:right w:val="single" w:color="auto" w:sz="4" w:space="0"/>
                  </w:tcBorders>
                  <w:noWrap w:val="0"/>
                  <w:vAlign w:val="center"/>
                </w:tcPr>
                <w:p w14:paraId="1C5D2212">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283CF778">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highlight w:val="none"/>
                      <w:lang w:val="en-US" w:eastAsia="zh-CN" w:bidi="ar"/>
                    </w:rPr>
                  </w:pPr>
                  <w:r>
                    <w:rPr>
                      <w:rFonts w:hint="eastAsia" w:cs="Times New Roman"/>
                      <w:b w:val="0"/>
                      <w:bCs w:val="0"/>
                      <w:color w:val="auto"/>
                      <w:kern w:val="2"/>
                      <w:sz w:val="21"/>
                      <w:szCs w:val="21"/>
                      <w:highlight w:val="none"/>
                      <w:lang w:val="en-US" w:eastAsia="zh-CN" w:bidi="ar"/>
                    </w:rPr>
                    <w:t>0.02</w:t>
                  </w:r>
                </w:p>
              </w:tc>
            </w:tr>
            <w:tr w14:paraId="32D20B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691" w:type="dxa"/>
                  <w:tcBorders>
                    <w:top w:val="single" w:color="auto" w:sz="4" w:space="0"/>
                    <w:left w:val="single" w:color="auto" w:sz="8" w:space="0"/>
                    <w:bottom w:val="single" w:color="auto" w:sz="4" w:space="0"/>
                    <w:right w:val="single" w:color="auto" w:sz="4" w:space="0"/>
                  </w:tcBorders>
                  <w:noWrap w:val="0"/>
                  <w:vAlign w:val="center"/>
                </w:tcPr>
                <w:p w14:paraId="65144A15">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eastAsia" w:cs="Times New Roman"/>
                      <w:color w:val="auto"/>
                      <w:kern w:val="2"/>
                      <w:sz w:val="21"/>
                      <w:szCs w:val="21"/>
                      <w:highlight w:val="none"/>
                      <w:lang w:val="en-US" w:eastAsia="zh-CN" w:bidi="ar"/>
                    </w:rPr>
                    <w:t>10</w:t>
                  </w:r>
                </w:p>
              </w:tc>
              <w:tc>
                <w:tcPr>
                  <w:tcW w:w="709" w:type="dxa"/>
                  <w:tcBorders>
                    <w:top w:val="single" w:color="auto" w:sz="4" w:space="0"/>
                    <w:left w:val="nil"/>
                    <w:bottom w:val="single" w:color="auto" w:sz="4" w:space="0"/>
                    <w:right w:val="single" w:color="auto" w:sz="4" w:space="0"/>
                  </w:tcBorders>
                  <w:noWrap w:val="0"/>
                  <w:vAlign w:val="center"/>
                </w:tcPr>
                <w:p w14:paraId="1D1683B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油墨清洗</w:t>
                  </w:r>
                </w:p>
              </w:tc>
              <w:tc>
                <w:tcPr>
                  <w:tcW w:w="1843" w:type="dxa"/>
                  <w:tcBorders>
                    <w:top w:val="single" w:color="auto" w:sz="4" w:space="0"/>
                    <w:left w:val="nil"/>
                    <w:bottom w:val="single" w:color="auto" w:sz="4" w:space="0"/>
                    <w:right w:val="single" w:color="auto" w:sz="4" w:space="0"/>
                  </w:tcBorders>
                  <w:noWrap w:val="0"/>
                  <w:vAlign w:val="center"/>
                </w:tcPr>
                <w:p w14:paraId="412A211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auto"/>
                      <w:kern w:val="2"/>
                      <w:sz w:val="21"/>
                      <w:szCs w:val="21"/>
                      <w:highlight w:val="none"/>
                      <w:lang w:val="en-US" w:eastAsia="zh-CN" w:bidi="ar"/>
                    </w:rPr>
                  </w:pPr>
                  <w:r>
                    <w:rPr>
                      <w:rFonts w:hint="eastAsia" w:ascii="Times New Roman" w:hAnsi="Times New Roman" w:eastAsia="宋体" w:cs="Times New Roman"/>
                      <w:b w:val="0"/>
                      <w:bCs w:val="0"/>
                      <w:color w:val="auto"/>
                      <w:kern w:val="2"/>
                      <w:sz w:val="21"/>
                      <w:szCs w:val="21"/>
                      <w:highlight w:val="none"/>
                      <w:lang w:val="en-US" w:eastAsia="zh-CN" w:bidi="ar"/>
                    </w:rPr>
                    <w:t>清洗废水</w:t>
                  </w:r>
                </w:p>
              </w:tc>
              <w:tc>
                <w:tcPr>
                  <w:tcW w:w="2266" w:type="dxa"/>
                  <w:tcBorders>
                    <w:top w:val="single" w:color="auto" w:sz="4" w:space="0"/>
                    <w:left w:val="nil"/>
                    <w:bottom w:val="single" w:color="auto" w:sz="4" w:space="0"/>
                    <w:right w:val="single" w:color="auto" w:sz="4" w:space="0"/>
                  </w:tcBorders>
                  <w:noWrap w:val="0"/>
                  <w:vAlign w:val="center"/>
                </w:tcPr>
                <w:p w14:paraId="0D294129">
                  <w:pPr>
                    <w:keepNext w:val="0"/>
                    <w:keepLines w:val="0"/>
                    <w:widowControl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HW06废有机溶剂与含有机溶剂废物</w:t>
                  </w:r>
                </w:p>
                <w:p w14:paraId="1DBC33CE">
                  <w:pPr>
                    <w:keepNext w:val="0"/>
                    <w:keepLines w:val="0"/>
                    <w:widowControl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900-404-06</w:t>
                  </w:r>
                </w:p>
              </w:tc>
              <w:tc>
                <w:tcPr>
                  <w:tcW w:w="1121" w:type="dxa"/>
                  <w:tcBorders>
                    <w:top w:val="single" w:color="auto" w:sz="4" w:space="0"/>
                    <w:left w:val="nil"/>
                    <w:bottom w:val="single" w:color="auto" w:sz="4" w:space="0"/>
                    <w:right w:val="single" w:color="auto" w:sz="4" w:space="0"/>
                  </w:tcBorders>
                  <w:noWrap w:val="0"/>
                  <w:vAlign w:val="center"/>
                </w:tcPr>
                <w:p w14:paraId="278F5824">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油墨、有机溶剂</w:t>
                  </w:r>
                </w:p>
              </w:tc>
              <w:tc>
                <w:tcPr>
                  <w:tcW w:w="692" w:type="dxa"/>
                  <w:tcBorders>
                    <w:top w:val="single" w:color="auto" w:sz="4" w:space="0"/>
                    <w:left w:val="nil"/>
                    <w:bottom w:val="single" w:color="auto" w:sz="4" w:space="0"/>
                    <w:right w:val="single" w:color="auto" w:sz="4" w:space="0"/>
                  </w:tcBorders>
                  <w:noWrap w:val="0"/>
                  <w:vAlign w:val="center"/>
                </w:tcPr>
                <w:p w14:paraId="3E286538">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液态</w:t>
                  </w:r>
                </w:p>
              </w:tc>
              <w:tc>
                <w:tcPr>
                  <w:tcW w:w="974" w:type="dxa"/>
                  <w:tcBorders>
                    <w:top w:val="single" w:color="auto" w:sz="4" w:space="0"/>
                    <w:left w:val="nil"/>
                    <w:bottom w:val="single" w:color="auto" w:sz="4" w:space="0"/>
                    <w:right w:val="single" w:color="auto" w:sz="4" w:space="0"/>
                  </w:tcBorders>
                  <w:noWrap w:val="0"/>
                  <w:vAlign w:val="center"/>
                </w:tcPr>
                <w:p w14:paraId="3B589A0D">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T</w:t>
                  </w:r>
                  <w:r>
                    <w:rPr>
                      <w:rFonts w:hint="eastAsia" w:ascii="Times New Roman" w:hAnsi="Times New Roman" w:eastAsia="宋体" w:cs="Times New Roman"/>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I，R</w:t>
                  </w:r>
                </w:p>
              </w:tc>
              <w:tc>
                <w:tcPr>
                  <w:tcW w:w="1132" w:type="dxa"/>
                  <w:tcBorders>
                    <w:top w:val="single" w:color="auto" w:sz="4" w:space="0"/>
                    <w:left w:val="nil"/>
                    <w:bottom w:val="single" w:color="auto" w:sz="4" w:space="0"/>
                    <w:right w:val="single" w:color="auto" w:sz="4" w:space="0"/>
                  </w:tcBorders>
                  <w:noWrap w:val="0"/>
                  <w:vAlign w:val="center"/>
                </w:tcPr>
                <w:p w14:paraId="000CB1ED">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highlight w:val="none"/>
                      <w:lang w:val="en-US" w:eastAsia="zh-CN" w:bidi="ar"/>
                    </w:rPr>
                  </w:pPr>
                  <w:r>
                    <w:rPr>
                      <w:rFonts w:hint="eastAsia" w:cs="Times New Roman"/>
                      <w:b w:val="0"/>
                      <w:bCs w:val="0"/>
                      <w:color w:val="auto"/>
                      <w:kern w:val="2"/>
                      <w:sz w:val="21"/>
                      <w:szCs w:val="21"/>
                      <w:highlight w:val="none"/>
                      <w:lang w:val="en-US" w:eastAsia="zh-CN" w:bidi="ar"/>
                    </w:rPr>
                    <w:t>0.06</w:t>
                  </w:r>
                </w:p>
              </w:tc>
              <w:tc>
                <w:tcPr>
                  <w:tcW w:w="1157" w:type="dxa"/>
                  <w:vMerge w:val="continue"/>
                  <w:tcBorders>
                    <w:left w:val="nil"/>
                    <w:bottom w:val="single" w:color="auto" w:sz="4" w:space="0"/>
                    <w:right w:val="single" w:color="auto" w:sz="4" w:space="0"/>
                  </w:tcBorders>
                  <w:noWrap w:val="0"/>
                  <w:vAlign w:val="center"/>
                </w:tcPr>
                <w:p w14:paraId="355A18E5">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rPr>
                  </w:pPr>
                </w:p>
              </w:tc>
              <w:tc>
                <w:tcPr>
                  <w:tcW w:w="1066" w:type="dxa"/>
                  <w:vMerge w:val="continue"/>
                  <w:tcBorders>
                    <w:left w:val="nil"/>
                    <w:bottom w:val="single" w:color="auto" w:sz="4" w:space="0"/>
                    <w:right w:val="single" w:color="auto" w:sz="4" w:space="0"/>
                  </w:tcBorders>
                  <w:noWrap w:val="0"/>
                  <w:vAlign w:val="center"/>
                </w:tcPr>
                <w:p w14:paraId="09701852">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2EAD0885">
                  <w:pPr>
                    <w:keepNext w:val="0"/>
                    <w:keepLines w:val="0"/>
                    <w:widowControl w:val="0"/>
                    <w:suppressLineNumbers w:val="0"/>
                    <w:topLinePunct/>
                    <w:adjustRightInd w:val="0"/>
                    <w:snapToGrid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highlight w:val="none"/>
                      <w:lang w:val="en-US" w:eastAsia="zh-CN" w:bidi="ar"/>
                    </w:rPr>
                  </w:pPr>
                  <w:r>
                    <w:rPr>
                      <w:rFonts w:hint="eastAsia" w:cs="Times New Roman"/>
                      <w:b w:val="0"/>
                      <w:bCs w:val="0"/>
                      <w:color w:val="auto"/>
                      <w:kern w:val="2"/>
                      <w:sz w:val="21"/>
                      <w:szCs w:val="21"/>
                      <w:highlight w:val="none"/>
                      <w:lang w:val="en-US" w:eastAsia="zh-CN" w:bidi="ar"/>
                    </w:rPr>
                    <w:t>0.06</w:t>
                  </w:r>
                </w:p>
              </w:tc>
            </w:tr>
          </w:tbl>
          <w:p w14:paraId="6DE398FF">
            <w:pPr>
              <w:pStyle w:val="28"/>
              <w:keepNext w:val="0"/>
              <w:keepLines w:val="0"/>
              <w:suppressLineNumbers w:val="0"/>
              <w:ind w:left="0" w:right="0"/>
              <w:jc w:val="center"/>
              <w:outlineLvl w:val="0"/>
              <w:rPr>
                <w:rFonts w:hint="default" w:ascii="Times New Roman" w:hAnsi="Times New Roman" w:eastAsia="宋体" w:cs="Times New Roman"/>
                <w:b/>
                <w:bCs/>
                <w:snapToGrid w:val="0"/>
                <w:color w:val="auto"/>
                <w:sz w:val="30"/>
                <w:szCs w:val="30"/>
                <w:highlight w:val="none"/>
                <w:vertAlign w:val="baseline"/>
              </w:rPr>
            </w:pPr>
          </w:p>
        </w:tc>
      </w:tr>
    </w:tbl>
    <w:p w14:paraId="0C96118C">
      <w:pPr>
        <w:pStyle w:val="28"/>
        <w:jc w:val="center"/>
        <w:outlineLvl w:val="0"/>
        <w:rPr>
          <w:rFonts w:hint="default" w:ascii="Times New Roman" w:hAnsi="Times New Roman" w:eastAsia="宋体" w:cs="Times New Roman"/>
          <w:b/>
          <w:bCs/>
          <w:snapToGrid w:val="0"/>
          <w:color w:val="auto"/>
          <w:sz w:val="30"/>
          <w:szCs w:val="30"/>
          <w:highlight w:val="none"/>
        </w:rPr>
        <w:sectPr>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7"/>
        <w:gridCol w:w="8343"/>
      </w:tblGrid>
      <w:tr w14:paraId="5BD38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29" w:hRule="atLeast"/>
        </w:trPr>
        <w:tc>
          <w:tcPr>
            <w:tcW w:w="717" w:type="dxa"/>
            <w:noWrap w:val="0"/>
            <w:vAlign w:val="top"/>
          </w:tcPr>
          <w:p w14:paraId="4A647507">
            <w:pPr>
              <w:pStyle w:val="28"/>
              <w:keepNext w:val="0"/>
              <w:keepLines w:val="0"/>
              <w:suppressLineNumbers w:val="0"/>
              <w:ind w:left="0" w:right="0"/>
              <w:jc w:val="center"/>
              <w:outlineLvl w:val="0"/>
              <w:rPr>
                <w:rFonts w:hint="default" w:ascii="Times New Roman" w:hAnsi="Times New Roman" w:eastAsia="宋体" w:cs="Times New Roman"/>
                <w:b/>
                <w:bCs/>
                <w:snapToGrid w:val="0"/>
                <w:color w:val="auto"/>
                <w:sz w:val="30"/>
                <w:szCs w:val="30"/>
                <w:highlight w:val="none"/>
                <w:vertAlign w:val="baseline"/>
              </w:rPr>
            </w:pPr>
          </w:p>
        </w:tc>
        <w:tc>
          <w:tcPr>
            <w:tcW w:w="8343" w:type="dxa"/>
            <w:noWrap w:val="0"/>
            <w:vAlign w:val="top"/>
          </w:tcPr>
          <w:p w14:paraId="745D2F09">
            <w:pPr>
              <w:pStyle w:val="19"/>
              <w:keepNext w:val="0"/>
              <w:keepLines w:val="0"/>
              <w:suppressLineNumbers w:val="0"/>
              <w:spacing w:before="120" w:beforeLines="50" w:beforeAutospacing="0" w:after="0" w:afterAutospacing="0" w:line="360" w:lineRule="auto"/>
              <w:ind w:left="0" w:right="0" w:firstLine="482" w:firstLineChars="200"/>
              <w:rPr>
                <w:rFonts w:hint="default" w:ascii="Times New Roman" w:hAnsi="Times New Roman" w:eastAsia="宋体" w:cs="Times New Roman"/>
                <w:color w:val="auto"/>
                <w:sz w:val="24"/>
                <w:szCs w:val="22"/>
                <w:highlight w:val="none"/>
              </w:rPr>
            </w:pPr>
            <w:r>
              <w:rPr>
                <w:rFonts w:hint="default" w:ascii="Times New Roman" w:hAnsi="Times New Roman" w:eastAsia="宋体" w:cs="Times New Roman"/>
                <w:b/>
                <w:bCs/>
                <w:color w:val="auto"/>
                <w:sz w:val="24"/>
                <w:szCs w:val="22"/>
                <w:highlight w:val="none"/>
              </w:rPr>
              <w:t>2、环境管理要求</w:t>
            </w:r>
          </w:p>
          <w:p w14:paraId="2A069F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项目应制定严格的管理制度对危险废物在产生、分类、管理和运输等环节进行严格的监控，严格按照《危险废物贮存污染控制标准》（GB18597-2023）进行贮存和运输，所有危险废物应委托给具有危险废物处理资质单位进行处理处置。按照危险废物贮存污染控制标准要求，在危险固废临时存放时应采用专门贮存装置，贮存场所按《危险废物贮存污染控制标准》（GB18597-2023）进行建设，并设立危险废物警示标志，由专人进行管理，做好危险废物排放量及处置记录。暂存装置必须设计堵截泄漏的裙脚，地面与裙脚所围容积不低于堵截容积的最大储量。地面与裙脚要用坚固、防渗的材料建造，必须设泄漏液体收集装置。用以存放废物容器的地方，必须有耐腐蚀的地面，且表面无裂隙。对危险固废暂存及外运容器进行定期检查，发现破损及时更换并清理现场。贮存设施应配备通信装置、照明设施、安全防护服装及工具，并设应急防护设施。同时贮存装置设防雨、防风、防晒设施，并定期维护，避免污染物泄漏，污染环境。项目处置危险废物的措施应符合《中华人民共和国固体废物污染环境防治法》，并执行《危险废物转移联单管理办法》规定的各项程序。交由具有相关危险废物经营许可证的单位处理。</w:t>
            </w:r>
          </w:p>
          <w:p w14:paraId="3486392B">
            <w:pPr>
              <w:pStyle w:val="19"/>
              <w:keepNext w:val="0"/>
              <w:keepLines w:val="0"/>
              <w:numPr>
                <w:ilvl w:val="0"/>
                <w:numId w:val="0"/>
              </w:numPr>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szCs w:val="22"/>
                <w:highlight w:val="none"/>
                <w:lang w:val="en-US" w:eastAsia="zh-CN"/>
              </w:rPr>
            </w:pPr>
            <w:r>
              <w:rPr>
                <w:rFonts w:hint="eastAsia" w:ascii="Times New Roman" w:hAnsi="Times New Roman" w:eastAsia="宋体" w:cs="Times New Roman"/>
                <w:b/>
                <w:bCs/>
                <w:color w:val="auto"/>
                <w:sz w:val="24"/>
                <w:szCs w:val="22"/>
                <w:highlight w:val="none"/>
                <w:lang w:val="en-US" w:eastAsia="zh-CN"/>
              </w:rPr>
              <w:t>五、</w:t>
            </w:r>
            <w:r>
              <w:rPr>
                <w:rFonts w:hint="default" w:ascii="Times New Roman" w:hAnsi="Times New Roman" w:eastAsia="宋体" w:cs="Times New Roman"/>
                <w:b/>
                <w:bCs/>
                <w:color w:val="auto"/>
                <w:sz w:val="24"/>
                <w:szCs w:val="22"/>
                <w:highlight w:val="none"/>
              </w:rPr>
              <w:t>地下水</w:t>
            </w:r>
            <w:r>
              <w:rPr>
                <w:rFonts w:hint="eastAsia" w:ascii="Times New Roman" w:hAnsi="Times New Roman" w:eastAsia="宋体" w:cs="Times New Roman"/>
                <w:b/>
                <w:bCs/>
                <w:color w:val="auto"/>
                <w:sz w:val="24"/>
                <w:szCs w:val="22"/>
                <w:highlight w:val="none"/>
                <w:lang w:eastAsia="zh-CN"/>
              </w:rPr>
              <w:t>、</w:t>
            </w:r>
            <w:r>
              <w:rPr>
                <w:rFonts w:hint="eastAsia" w:ascii="Times New Roman" w:hAnsi="Times New Roman" w:eastAsia="宋体" w:cs="Times New Roman"/>
                <w:b/>
                <w:bCs/>
                <w:color w:val="auto"/>
                <w:sz w:val="24"/>
                <w:szCs w:val="22"/>
                <w:highlight w:val="none"/>
                <w:lang w:val="en-US" w:eastAsia="zh-CN"/>
              </w:rPr>
              <w:t>土壤</w:t>
            </w:r>
          </w:p>
          <w:p w14:paraId="6CC7B372">
            <w:pPr>
              <w:keepNext w:val="0"/>
              <w:keepLines w:val="0"/>
              <w:widowControl/>
              <w:suppressLineNumbers w:val="0"/>
              <w:spacing w:before="0" w:beforeAutospacing="0" w:after="0" w:afterAutospacing="0" w:line="360" w:lineRule="auto"/>
              <w:ind w:left="0" w:right="0" w:firstLine="482" w:firstLineChars="200"/>
              <w:rPr>
                <w:rFonts w:hint="eastAsia" w:ascii="Times New Roman" w:hAnsi="Times New Roman" w:eastAsia="宋体" w:cs="Times New Roman"/>
                <w:b/>
                <w:bCs/>
                <w:color w:val="auto"/>
                <w:kern w:val="0"/>
                <w:sz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1、地下水和土壤环境的潜在污染源及影响途径</w:t>
            </w:r>
          </w:p>
          <w:p w14:paraId="1842C0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22" w:firstLineChars="200"/>
              <w:jc w:val="center"/>
              <w:textAlignment w:val="auto"/>
              <w:rPr>
                <w:rFonts w:hint="eastAsia" w:ascii="Times New Roman" w:hAnsi="Times New Roman" w:eastAsia="宋体" w:cs="Times New Roman"/>
                <w:b/>
                <w:bCs/>
                <w:color w:val="auto"/>
                <w:kern w:val="0"/>
                <w:sz w:val="21"/>
                <w:szCs w:val="21"/>
                <w:highlight w:val="none"/>
                <w:lang w:val="en-US" w:eastAsia="zh-CN" w:bidi="ar"/>
              </w:rPr>
            </w:pPr>
            <w:r>
              <w:rPr>
                <w:rFonts w:hint="eastAsia" w:ascii="Times New Roman" w:hAnsi="Times New Roman" w:eastAsia="宋体" w:cs="Times New Roman"/>
                <w:b/>
                <w:bCs/>
                <w:color w:val="auto"/>
                <w:kern w:val="0"/>
                <w:sz w:val="21"/>
                <w:szCs w:val="21"/>
                <w:highlight w:val="none"/>
                <w:lang w:val="en-US" w:eastAsia="zh-CN" w:bidi="ar"/>
              </w:rPr>
              <w:t>表</w:t>
            </w:r>
            <w:r>
              <w:rPr>
                <w:rFonts w:hint="eastAsia" w:cs="Times New Roman"/>
                <w:b/>
                <w:bCs/>
                <w:color w:val="auto"/>
                <w:kern w:val="0"/>
                <w:sz w:val="21"/>
                <w:szCs w:val="21"/>
                <w:highlight w:val="none"/>
                <w:lang w:val="en-US" w:eastAsia="zh-CN" w:bidi="ar"/>
              </w:rPr>
              <w:t>4-21</w:t>
            </w:r>
            <w:r>
              <w:rPr>
                <w:rFonts w:hint="eastAsia" w:ascii="Times New Roman" w:hAnsi="Times New Roman" w:eastAsia="宋体" w:cs="Times New Roman"/>
                <w:b/>
                <w:bCs/>
                <w:color w:val="auto"/>
                <w:kern w:val="0"/>
                <w:sz w:val="21"/>
                <w:szCs w:val="21"/>
                <w:highlight w:val="none"/>
                <w:lang w:val="en-US" w:eastAsia="zh-CN" w:bidi="ar"/>
              </w:rPr>
              <w:t xml:space="preserve"> 地下水、土壤环境潜在污染源及可能影响途径一览表</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0"/>
              <w:gridCol w:w="2762"/>
              <w:gridCol w:w="3978"/>
            </w:tblGrid>
            <w:tr w14:paraId="3214A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1360" w:type="dxa"/>
                  <w:noWrap w:val="0"/>
                  <w:vAlign w:val="center"/>
                </w:tcPr>
                <w:p w14:paraId="1BA536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区域</w:t>
                  </w:r>
                </w:p>
              </w:tc>
              <w:tc>
                <w:tcPr>
                  <w:tcW w:w="2762" w:type="dxa"/>
                  <w:noWrap w:val="0"/>
                  <w:vAlign w:val="center"/>
                </w:tcPr>
                <w:p w14:paraId="505D1F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潜在污染源</w:t>
                  </w:r>
                </w:p>
              </w:tc>
              <w:tc>
                <w:tcPr>
                  <w:tcW w:w="3978" w:type="dxa"/>
                  <w:noWrap w:val="0"/>
                  <w:vAlign w:val="center"/>
                </w:tcPr>
                <w:p w14:paraId="11F72F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可能影响途径</w:t>
                  </w:r>
                </w:p>
              </w:tc>
            </w:tr>
            <w:tr w14:paraId="643CE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360" w:type="dxa"/>
                  <w:vMerge w:val="restart"/>
                  <w:noWrap w:val="0"/>
                  <w:vAlign w:val="center"/>
                </w:tcPr>
                <w:p w14:paraId="273C42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生产区域</w:t>
                  </w:r>
                </w:p>
              </w:tc>
              <w:tc>
                <w:tcPr>
                  <w:tcW w:w="2762" w:type="dxa"/>
                  <w:noWrap w:val="0"/>
                  <w:vAlign w:val="center"/>
                </w:tcPr>
                <w:p w14:paraId="578B40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有机废气</w:t>
                  </w:r>
                </w:p>
              </w:tc>
              <w:tc>
                <w:tcPr>
                  <w:tcW w:w="3978" w:type="dxa"/>
                  <w:noWrap w:val="0"/>
                  <w:vAlign w:val="center"/>
                </w:tcPr>
                <w:p w14:paraId="4C3714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通过大气沉降影响土壤</w:t>
                  </w:r>
                </w:p>
              </w:tc>
            </w:tr>
            <w:tr w14:paraId="459E5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1360" w:type="dxa"/>
                  <w:vMerge w:val="continue"/>
                  <w:noWrap w:val="0"/>
                  <w:vAlign w:val="center"/>
                </w:tcPr>
                <w:p w14:paraId="5E49FA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
                    </w:rPr>
                  </w:pPr>
                </w:p>
              </w:tc>
              <w:tc>
                <w:tcPr>
                  <w:tcW w:w="2762" w:type="dxa"/>
                  <w:noWrap w:val="0"/>
                  <w:vAlign w:val="center"/>
                </w:tcPr>
                <w:p w14:paraId="35856D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机油、大豆油墨、水性光油</w:t>
                  </w:r>
                </w:p>
              </w:tc>
              <w:tc>
                <w:tcPr>
                  <w:tcW w:w="3978" w:type="dxa"/>
                  <w:noWrap w:val="0"/>
                  <w:vAlign w:val="center"/>
                </w:tcPr>
                <w:p w14:paraId="28BBC6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因泄露而发生垂直下渗或通过地表径流影响土壤、地下水</w:t>
                  </w:r>
                </w:p>
              </w:tc>
            </w:tr>
            <w:tr w14:paraId="7C095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1360" w:type="dxa"/>
                  <w:noWrap w:val="0"/>
                  <w:vAlign w:val="center"/>
                </w:tcPr>
                <w:p w14:paraId="58E54F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危废暂存间</w:t>
                  </w:r>
                </w:p>
              </w:tc>
              <w:tc>
                <w:tcPr>
                  <w:tcW w:w="2762" w:type="dxa"/>
                  <w:noWrap w:val="0"/>
                  <w:vAlign w:val="center"/>
                </w:tcPr>
                <w:p w14:paraId="5C7630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危险废物</w:t>
                  </w:r>
                </w:p>
              </w:tc>
              <w:tc>
                <w:tcPr>
                  <w:tcW w:w="3978" w:type="dxa"/>
                  <w:noWrap w:val="0"/>
                  <w:vAlign w:val="center"/>
                </w:tcPr>
                <w:p w14:paraId="35A2F7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因危险废物泄露而发生垂直下渗或通过地表径流影响土壤、地下水</w:t>
                  </w:r>
                </w:p>
              </w:tc>
            </w:tr>
            <w:tr w14:paraId="26596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1360" w:type="dxa"/>
                  <w:noWrap w:val="0"/>
                  <w:vAlign w:val="center"/>
                </w:tcPr>
                <w:p w14:paraId="0DAB64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办公区</w:t>
                  </w:r>
                </w:p>
              </w:tc>
              <w:tc>
                <w:tcPr>
                  <w:tcW w:w="2762" w:type="dxa"/>
                  <w:noWrap w:val="0"/>
                  <w:vAlign w:val="center"/>
                </w:tcPr>
                <w:p w14:paraId="51C466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生活污水</w:t>
                  </w:r>
                </w:p>
              </w:tc>
              <w:tc>
                <w:tcPr>
                  <w:tcW w:w="3978" w:type="dxa"/>
                  <w:noWrap w:val="0"/>
                  <w:vAlign w:val="center"/>
                </w:tcPr>
                <w:p w14:paraId="384B7C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因污水管道破裂、化粪池泄露导致地下水、土壤收到污染。</w:t>
                  </w:r>
                </w:p>
              </w:tc>
            </w:tr>
            <w:tr w14:paraId="6920F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1360" w:type="dxa"/>
                  <w:noWrap w:val="0"/>
                  <w:vAlign w:val="center"/>
                </w:tcPr>
                <w:p w14:paraId="448227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一般固废暂存间</w:t>
                  </w:r>
                </w:p>
              </w:tc>
              <w:tc>
                <w:tcPr>
                  <w:tcW w:w="2762" w:type="dxa"/>
                  <w:noWrap w:val="0"/>
                  <w:vAlign w:val="center"/>
                </w:tcPr>
                <w:p w14:paraId="416871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一般工业固体废物</w:t>
                  </w:r>
                </w:p>
              </w:tc>
              <w:tc>
                <w:tcPr>
                  <w:tcW w:w="3978" w:type="dxa"/>
                  <w:noWrap w:val="0"/>
                  <w:vAlign w:val="center"/>
                </w:tcPr>
                <w:p w14:paraId="1ADC7F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因危固体废物泄露而发生垂直下渗或通过地表径流影响土壤、地下水</w:t>
                  </w:r>
                </w:p>
              </w:tc>
            </w:tr>
          </w:tbl>
          <w:p w14:paraId="674895AD">
            <w:pPr>
              <w:keepNext w:val="0"/>
              <w:keepLines w:val="0"/>
              <w:widowControl/>
              <w:numPr>
                <w:ilvl w:val="0"/>
                <w:numId w:val="0"/>
              </w:numPr>
              <w:suppressLineNumbers w:val="0"/>
              <w:spacing w:before="0" w:beforeAutospacing="0" w:after="0" w:afterAutospacing="0" w:line="360" w:lineRule="auto"/>
              <w:ind w:left="420" w:leftChars="200" w:right="0"/>
              <w:rPr>
                <w:rFonts w:hint="eastAsia" w:ascii="Times New Roman" w:hAnsi="Times New Roman" w:eastAsia="宋体" w:cs="Times New Roman"/>
                <w:color w:val="auto"/>
                <w:kern w:val="0"/>
                <w:sz w:val="24"/>
                <w:highlight w:val="none"/>
                <w:lang w:val="en-US" w:eastAsia="zh-CN" w:bidi="ar"/>
              </w:rPr>
            </w:pPr>
          </w:p>
          <w:p w14:paraId="1970BAF0">
            <w:pPr>
              <w:keepNext w:val="0"/>
              <w:keepLines w:val="0"/>
              <w:widowControl/>
              <w:numPr>
                <w:ilvl w:val="0"/>
                <w:numId w:val="0"/>
              </w:numPr>
              <w:suppressLineNumbers w:val="0"/>
              <w:spacing w:before="0" w:beforeAutospacing="0" w:after="0" w:afterAutospacing="0" w:line="360" w:lineRule="auto"/>
              <w:ind w:left="420" w:leftChars="200" w:right="0"/>
              <w:rPr>
                <w:rFonts w:hint="eastAsia" w:ascii="Times New Roman" w:hAnsi="Times New Roman" w:eastAsia="宋体" w:cs="Times New Roman"/>
                <w:b/>
                <w:bCs/>
                <w:color w:val="auto"/>
                <w:kern w:val="0"/>
                <w:sz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2、分区防控措施</w:t>
            </w:r>
          </w:p>
          <w:p w14:paraId="7A902C21">
            <w:pPr>
              <w:keepNext w:val="0"/>
              <w:keepLines w:val="0"/>
              <w:widowControl/>
              <w:numPr>
                <w:ilvl w:val="0"/>
                <w:numId w:val="0"/>
              </w:numPr>
              <w:suppressLineNumbers w:val="0"/>
              <w:spacing w:before="0" w:beforeAutospacing="0" w:after="0" w:afterAutospacing="0" w:line="360" w:lineRule="auto"/>
              <w:ind w:left="0" w:leftChars="0" w:right="0" w:firstLine="420" w:firstLineChars="175"/>
              <w:rPr>
                <w:rFonts w:hint="eastAsia" w:ascii="Times New Roman" w:hAnsi="Times New Roman" w:eastAsia="宋体" w:cs="Times New Roman"/>
                <w:color w:val="auto"/>
                <w:kern w:val="0"/>
                <w:sz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参照《环境影响评价技术导则地下水环境》（HJ610-2016）中“表7 地下水污染防渗分区参照表”，其中危废间的防渗技术要求参照《危险废物贮存污染控制标准》的要求。</w:t>
            </w:r>
          </w:p>
          <w:p w14:paraId="1D008BA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369" w:firstLineChars="175"/>
              <w:jc w:val="center"/>
              <w:textAlignment w:val="auto"/>
              <w:rPr>
                <w:rFonts w:hint="eastAsia" w:ascii="Times New Roman" w:hAnsi="Times New Roman" w:eastAsia="宋体" w:cs="Times New Roman"/>
                <w:b/>
                <w:bCs/>
                <w:color w:val="auto"/>
                <w:kern w:val="0"/>
                <w:sz w:val="21"/>
                <w:szCs w:val="21"/>
                <w:highlight w:val="none"/>
                <w:lang w:val="en-US" w:eastAsia="zh-CN" w:bidi="ar"/>
              </w:rPr>
            </w:pPr>
            <w:r>
              <w:rPr>
                <w:rFonts w:hint="eastAsia" w:ascii="Times New Roman" w:hAnsi="Times New Roman" w:eastAsia="宋体" w:cs="Times New Roman"/>
                <w:b/>
                <w:bCs/>
                <w:color w:val="auto"/>
                <w:kern w:val="0"/>
                <w:sz w:val="21"/>
                <w:szCs w:val="21"/>
                <w:highlight w:val="none"/>
                <w:lang w:val="en-US" w:eastAsia="zh-CN" w:bidi="ar"/>
              </w:rPr>
              <w:t>表</w:t>
            </w:r>
            <w:r>
              <w:rPr>
                <w:rFonts w:hint="eastAsia" w:cs="Times New Roman"/>
                <w:b/>
                <w:bCs/>
                <w:color w:val="auto"/>
                <w:kern w:val="0"/>
                <w:sz w:val="21"/>
                <w:szCs w:val="21"/>
                <w:highlight w:val="none"/>
                <w:lang w:val="en-US" w:eastAsia="zh-CN" w:bidi="ar"/>
              </w:rPr>
              <w:t>4-22</w:t>
            </w:r>
            <w:r>
              <w:rPr>
                <w:rFonts w:hint="eastAsia" w:ascii="Times New Roman" w:hAnsi="Times New Roman" w:eastAsia="宋体" w:cs="Times New Roman"/>
                <w:b/>
                <w:bCs/>
                <w:color w:val="auto"/>
                <w:kern w:val="0"/>
                <w:sz w:val="21"/>
                <w:szCs w:val="21"/>
                <w:highlight w:val="none"/>
                <w:lang w:val="en-US" w:eastAsia="zh-CN" w:bidi="ar"/>
              </w:rPr>
              <w:t xml:space="preserve"> 项目分区防控情况一览表</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5"/>
              <w:gridCol w:w="1275"/>
              <w:gridCol w:w="1091"/>
              <w:gridCol w:w="1043"/>
              <w:gridCol w:w="914"/>
              <w:gridCol w:w="2569"/>
            </w:tblGrid>
            <w:tr w14:paraId="394AA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dxa"/>
                  <w:noWrap w:val="0"/>
                  <w:vAlign w:val="center"/>
                </w:tcPr>
                <w:p w14:paraId="6670798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42" w:leftChars="-20" w:right="-42" w:rightChars="-2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color w:val="auto"/>
                      <w:kern w:val="0"/>
                      <w:sz w:val="21"/>
                      <w:szCs w:val="21"/>
                      <w:highlight w:val="none"/>
                      <w:vertAlign w:val="baseline"/>
                      <w:lang w:val="en-US" w:eastAsia="zh-CN" w:bidi="ar"/>
                    </w:rPr>
                    <w:t>项目区域</w:t>
                  </w:r>
                </w:p>
              </w:tc>
              <w:tc>
                <w:tcPr>
                  <w:tcW w:w="1275" w:type="dxa"/>
                  <w:noWrap w:val="0"/>
                  <w:vAlign w:val="center"/>
                </w:tcPr>
                <w:p w14:paraId="2A8A945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color w:val="auto"/>
                      <w:kern w:val="0"/>
                      <w:sz w:val="21"/>
                      <w:szCs w:val="21"/>
                      <w:highlight w:val="none"/>
                      <w:vertAlign w:val="baseline"/>
                      <w:lang w:val="en-US" w:eastAsia="zh-CN" w:bidi="ar"/>
                    </w:rPr>
                    <w:t>天然包气带防污性能</w:t>
                  </w:r>
                </w:p>
              </w:tc>
              <w:tc>
                <w:tcPr>
                  <w:tcW w:w="1091" w:type="dxa"/>
                  <w:noWrap w:val="0"/>
                  <w:vAlign w:val="center"/>
                </w:tcPr>
                <w:p w14:paraId="2FCEB71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color w:val="auto"/>
                      <w:kern w:val="0"/>
                      <w:sz w:val="21"/>
                      <w:szCs w:val="21"/>
                      <w:highlight w:val="none"/>
                      <w:vertAlign w:val="baseline"/>
                      <w:lang w:val="en-US" w:eastAsia="zh-CN" w:bidi="ar"/>
                    </w:rPr>
                    <w:t>污染控制难度程度</w:t>
                  </w:r>
                </w:p>
              </w:tc>
              <w:tc>
                <w:tcPr>
                  <w:tcW w:w="1043" w:type="dxa"/>
                  <w:noWrap w:val="0"/>
                  <w:vAlign w:val="center"/>
                </w:tcPr>
                <w:p w14:paraId="786587F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color w:val="auto"/>
                      <w:kern w:val="0"/>
                      <w:sz w:val="21"/>
                      <w:szCs w:val="21"/>
                      <w:highlight w:val="none"/>
                      <w:vertAlign w:val="baseline"/>
                      <w:lang w:val="en-US" w:eastAsia="zh-CN" w:bidi="ar"/>
                    </w:rPr>
                    <w:t>污染物类型</w:t>
                  </w:r>
                </w:p>
              </w:tc>
              <w:tc>
                <w:tcPr>
                  <w:tcW w:w="914" w:type="dxa"/>
                  <w:noWrap w:val="0"/>
                  <w:vAlign w:val="center"/>
                </w:tcPr>
                <w:p w14:paraId="035AA97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color w:val="auto"/>
                      <w:kern w:val="0"/>
                      <w:sz w:val="21"/>
                      <w:szCs w:val="21"/>
                      <w:highlight w:val="none"/>
                      <w:vertAlign w:val="baseline"/>
                      <w:lang w:val="en-US" w:eastAsia="zh-CN" w:bidi="ar"/>
                    </w:rPr>
                    <w:t>防渗分区</w:t>
                  </w:r>
                </w:p>
              </w:tc>
              <w:tc>
                <w:tcPr>
                  <w:tcW w:w="2569" w:type="dxa"/>
                  <w:noWrap w:val="0"/>
                  <w:vAlign w:val="center"/>
                </w:tcPr>
                <w:p w14:paraId="59D0A33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color w:val="auto"/>
                      <w:kern w:val="0"/>
                      <w:sz w:val="21"/>
                      <w:szCs w:val="21"/>
                      <w:highlight w:val="none"/>
                      <w:vertAlign w:val="baseline"/>
                      <w:lang w:val="en-US" w:eastAsia="zh-CN" w:bidi="ar"/>
                    </w:rPr>
                    <w:t>防渗技术要求</w:t>
                  </w:r>
                </w:p>
              </w:tc>
            </w:tr>
            <w:tr w14:paraId="200B5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dxa"/>
                  <w:noWrap w:val="0"/>
                  <w:vAlign w:val="center"/>
                </w:tcPr>
                <w:p w14:paraId="48A03BD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42" w:leftChars="-20" w:right="-42" w:rightChars="-2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eastAsia" w:ascii="Times New Roman" w:hAnsi="Times New Roman" w:eastAsia="宋体" w:cs="Times New Roman"/>
                      <w:b w:val="0"/>
                      <w:bCs w:val="0"/>
                      <w:color w:val="auto"/>
                      <w:kern w:val="0"/>
                      <w:sz w:val="21"/>
                      <w:szCs w:val="21"/>
                      <w:highlight w:val="none"/>
                      <w:vertAlign w:val="baseline"/>
                      <w:lang w:val="en-US" w:eastAsia="zh-CN" w:bidi="ar"/>
                    </w:rPr>
                    <w:t>危废暂存间</w:t>
                  </w:r>
                </w:p>
              </w:tc>
              <w:tc>
                <w:tcPr>
                  <w:tcW w:w="1275" w:type="dxa"/>
                  <w:noWrap w:val="0"/>
                  <w:vAlign w:val="center"/>
                </w:tcPr>
                <w:p w14:paraId="18E0704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eastAsia" w:ascii="Times New Roman" w:hAnsi="Times New Roman" w:eastAsia="宋体" w:cs="Times New Roman"/>
                      <w:b w:val="0"/>
                      <w:bCs w:val="0"/>
                      <w:color w:val="auto"/>
                      <w:kern w:val="0"/>
                      <w:sz w:val="21"/>
                      <w:szCs w:val="21"/>
                      <w:highlight w:val="none"/>
                      <w:vertAlign w:val="baseline"/>
                      <w:lang w:val="en-US" w:eastAsia="zh-CN" w:bidi="ar"/>
                    </w:rPr>
                    <w:t>中—强</w:t>
                  </w:r>
                </w:p>
              </w:tc>
              <w:tc>
                <w:tcPr>
                  <w:tcW w:w="1091" w:type="dxa"/>
                  <w:noWrap w:val="0"/>
                  <w:vAlign w:val="center"/>
                </w:tcPr>
                <w:p w14:paraId="0D0DF4D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eastAsia" w:ascii="Times New Roman" w:hAnsi="Times New Roman" w:eastAsia="宋体" w:cs="Times New Roman"/>
                      <w:b w:val="0"/>
                      <w:bCs w:val="0"/>
                      <w:color w:val="auto"/>
                      <w:kern w:val="0"/>
                      <w:sz w:val="21"/>
                      <w:szCs w:val="21"/>
                      <w:highlight w:val="none"/>
                      <w:vertAlign w:val="baseline"/>
                      <w:lang w:val="en-US" w:eastAsia="zh-CN" w:bidi="ar"/>
                    </w:rPr>
                    <w:t>难</w:t>
                  </w:r>
                </w:p>
              </w:tc>
              <w:tc>
                <w:tcPr>
                  <w:tcW w:w="1043" w:type="dxa"/>
                  <w:noWrap w:val="0"/>
                  <w:vAlign w:val="center"/>
                </w:tcPr>
                <w:p w14:paraId="0A8FC7B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42" w:leftChars="-20" w:right="-42" w:rightChars="-2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eastAsia" w:ascii="Times New Roman" w:hAnsi="Times New Roman" w:eastAsia="宋体" w:cs="Times New Roman"/>
                      <w:b w:val="0"/>
                      <w:bCs w:val="0"/>
                      <w:color w:val="auto"/>
                      <w:kern w:val="0"/>
                      <w:sz w:val="21"/>
                      <w:szCs w:val="21"/>
                      <w:highlight w:val="none"/>
                      <w:vertAlign w:val="baseline"/>
                      <w:lang w:val="en-US" w:eastAsia="zh-CN" w:bidi="ar"/>
                    </w:rPr>
                    <w:t>其他类型</w:t>
                  </w:r>
                </w:p>
              </w:tc>
              <w:tc>
                <w:tcPr>
                  <w:tcW w:w="914" w:type="dxa"/>
                  <w:noWrap w:val="0"/>
                  <w:vAlign w:val="center"/>
                </w:tcPr>
                <w:p w14:paraId="528F599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eastAsia" w:ascii="Times New Roman" w:hAnsi="Times New Roman" w:eastAsia="宋体" w:cs="Times New Roman"/>
                      <w:b w:val="0"/>
                      <w:bCs w:val="0"/>
                      <w:color w:val="auto"/>
                      <w:kern w:val="0"/>
                      <w:sz w:val="21"/>
                      <w:szCs w:val="21"/>
                      <w:highlight w:val="none"/>
                      <w:vertAlign w:val="baseline"/>
                      <w:lang w:val="en-US" w:eastAsia="zh-CN" w:bidi="ar"/>
                    </w:rPr>
                    <w:t>重点防渗区</w:t>
                  </w:r>
                </w:p>
              </w:tc>
              <w:tc>
                <w:tcPr>
                  <w:tcW w:w="2569" w:type="dxa"/>
                  <w:noWrap w:val="0"/>
                  <w:vAlign w:val="center"/>
                </w:tcPr>
                <w:p w14:paraId="5EE1BE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符合《危险废物贮存污染控制标准》要求</w:t>
                  </w:r>
                </w:p>
              </w:tc>
            </w:tr>
            <w:tr w14:paraId="25D03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dxa"/>
                  <w:noWrap w:val="0"/>
                  <w:vAlign w:val="center"/>
                </w:tcPr>
                <w:p w14:paraId="517310E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42" w:leftChars="-20" w:right="-42" w:rightChars="-2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eastAsia" w:ascii="Times New Roman" w:hAnsi="Times New Roman" w:eastAsia="宋体" w:cs="Times New Roman"/>
                      <w:b w:val="0"/>
                      <w:bCs w:val="0"/>
                      <w:color w:val="auto"/>
                      <w:kern w:val="0"/>
                      <w:sz w:val="21"/>
                      <w:szCs w:val="21"/>
                      <w:highlight w:val="none"/>
                      <w:vertAlign w:val="baseline"/>
                      <w:lang w:val="en-US" w:eastAsia="zh-CN" w:bidi="ar"/>
                    </w:rPr>
                    <w:t>生产车间</w:t>
                  </w:r>
                </w:p>
              </w:tc>
              <w:tc>
                <w:tcPr>
                  <w:tcW w:w="1275" w:type="dxa"/>
                  <w:noWrap w:val="0"/>
                  <w:vAlign w:val="center"/>
                </w:tcPr>
                <w:p w14:paraId="37523F8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eastAsia" w:ascii="Times New Roman" w:hAnsi="Times New Roman" w:eastAsia="宋体" w:cs="Times New Roman"/>
                      <w:b w:val="0"/>
                      <w:bCs w:val="0"/>
                      <w:color w:val="auto"/>
                      <w:kern w:val="0"/>
                      <w:sz w:val="21"/>
                      <w:szCs w:val="21"/>
                      <w:highlight w:val="none"/>
                      <w:vertAlign w:val="baseline"/>
                      <w:lang w:val="en-US" w:eastAsia="zh-CN" w:bidi="ar"/>
                    </w:rPr>
                    <w:t>中—强</w:t>
                  </w:r>
                </w:p>
              </w:tc>
              <w:tc>
                <w:tcPr>
                  <w:tcW w:w="1091" w:type="dxa"/>
                  <w:noWrap w:val="0"/>
                  <w:vAlign w:val="center"/>
                </w:tcPr>
                <w:p w14:paraId="5A3BA20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eastAsia" w:ascii="Times New Roman" w:hAnsi="Times New Roman" w:eastAsia="宋体" w:cs="Times New Roman"/>
                      <w:b w:val="0"/>
                      <w:bCs w:val="0"/>
                      <w:color w:val="auto"/>
                      <w:kern w:val="0"/>
                      <w:sz w:val="21"/>
                      <w:szCs w:val="21"/>
                      <w:highlight w:val="none"/>
                      <w:vertAlign w:val="baseline"/>
                      <w:lang w:val="en-US" w:eastAsia="zh-CN" w:bidi="ar"/>
                    </w:rPr>
                    <w:t>易</w:t>
                  </w:r>
                </w:p>
              </w:tc>
              <w:tc>
                <w:tcPr>
                  <w:tcW w:w="1043" w:type="dxa"/>
                  <w:noWrap w:val="0"/>
                  <w:vAlign w:val="center"/>
                </w:tcPr>
                <w:p w14:paraId="2955675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42" w:leftChars="-20" w:right="-42" w:rightChars="-2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eastAsia" w:ascii="Times New Roman" w:hAnsi="Times New Roman" w:eastAsia="宋体" w:cs="Times New Roman"/>
                      <w:b w:val="0"/>
                      <w:bCs w:val="0"/>
                      <w:color w:val="auto"/>
                      <w:kern w:val="0"/>
                      <w:sz w:val="21"/>
                      <w:szCs w:val="21"/>
                      <w:highlight w:val="none"/>
                      <w:vertAlign w:val="baseline"/>
                      <w:lang w:val="en-US" w:eastAsia="zh-CN" w:bidi="ar"/>
                    </w:rPr>
                    <w:t>其他类型</w:t>
                  </w:r>
                </w:p>
              </w:tc>
              <w:tc>
                <w:tcPr>
                  <w:tcW w:w="914" w:type="dxa"/>
                  <w:noWrap w:val="0"/>
                  <w:vAlign w:val="center"/>
                </w:tcPr>
                <w:p w14:paraId="01B5D9F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eastAsia" w:ascii="Times New Roman" w:hAnsi="Times New Roman" w:eastAsia="宋体" w:cs="Times New Roman"/>
                      <w:b w:val="0"/>
                      <w:bCs w:val="0"/>
                      <w:color w:val="auto"/>
                      <w:kern w:val="0"/>
                      <w:sz w:val="21"/>
                      <w:szCs w:val="21"/>
                      <w:highlight w:val="none"/>
                      <w:vertAlign w:val="baseline"/>
                      <w:lang w:val="en-US" w:eastAsia="zh-CN" w:bidi="ar"/>
                    </w:rPr>
                    <w:t>一般防渗区</w:t>
                  </w:r>
                </w:p>
              </w:tc>
              <w:tc>
                <w:tcPr>
                  <w:tcW w:w="2569" w:type="dxa"/>
                  <w:noWrap w:val="0"/>
                  <w:vAlign w:val="center"/>
                </w:tcPr>
                <w:p w14:paraId="39DB55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lang w:val="en-US" w:eastAsia="zh-CN"/>
                    </w:rPr>
                    <w:t>等效黏土防渗层Mb≥6m，K≤1.0×10</w:t>
                  </w:r>
                  <w:r>
                    <w:rPr>
                      <w:rFonts w:hint="default" w:ascii="Times New Roman" w:hAnsi="Times New Roman" w:cs="Times New Roman"/>
                      <w:color w:val="auto"/>
                      <w:sz w:val="21"/>
                      <w:szCs w:val="21"/>
                      <w:highlight w:val="none"/>
                      <w:vertAlign w:val="superscript"/>
                      <w:lang w:val="en-US" w:eastAsia="zh-CN"/>
                    </w:rPr>
                    <w:t>-7</w:t>
                  </w:r>
                  <w:r>
                    <w:rPr>
                      <w:rFonts w:hint="default" w:ascii="Times New Roman" w:hAnsi="Times New Roman" w:cs="Times New Roman"/>
                      <w:color w:val="auto"/>
                      <w:sz w:val="21"/>
                      <w:szCs w:val="21"/>
                      <w:highlight w:val="none"/>
                      <w:vertAlign w:val="baseline"/>
                      <w:lang w:val="en-US" w:eastAsia="zh-CN"/>
                    </w:rPr>
                    <w:t>cm/s；或参照GB16889执行。</w:t>
                  </w:r>
                </w:p>
              </w:tc>
            </w:tr>
            <w:tr w14:paraId="4CB03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dxa"/>
                  <w:noWrap w:val="0"/>
                  <w:vAlign w:val="center"/>
                </w:tcPr>
                <w:p w14:paraId="535F8CD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42" w:leftChars="-20" w:right="-42" w:rightChars="-2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eastAsia" w:ascii="Times New Roman" w:hAnsi="Times New Roman" w:eastAsia="宋体" w:cs="Times New Roman"/>
                      <w:b w:val="0"/>
                      <w:bCs w:val="0"/>
                      <w:color w:val="auto"/>
                      <w:kern w:val="0"/>
                      <w:sz w:val="21"/>
                      <w:szCs w:val="21"/>
                      <w:highlight w:val="none"/>
                      <w:vertAlign w:val="baseline"/>
                      <w:lang w:val="en-US" w:eastAsia="zh-CN" w:bidi="ar"/>
                    </w:rPr>
                    <w:t>办公区域</w:t>
                  </w:r>
                </w:p>
              </w:tc>
              <w:tc>
                <w:tcPr>
                  <w:tcW w:w="1275" w:type="dxa"/>
                  <w:noWrap w:val="0"/>
                  <w:vAlign w:val="center"/>
                </w:tcPr>
                <w:p w14:paraId="642FA48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eastAsia" w:ascii="Times New Roman" w:hAnsi="Times New Roman" w:eastAsia="宋体" w:cs="Times New Roman"/>
                      <w:b w:val="0"/>
                      <w:bCs w:val="0"/>
                      <w:color w:val="auto"/>
                      <w:kern w:val="0"/>
                      <w:sz w:val="21"/>
                      <w:szCs w:val="21"/>
                      <w:highlight w:val="none"/>
                      <w:vertAlign w:val="baseline"/>
                      <w:lang w:val="en-US" w:eastAsia="zh-CN" w:bidi="ar"/>
                    </w:rPr>
                    <w:t>中—强</w:t>
                  </w:r>
                </w:p>
              </w:tc>
              <w:tc>
                <w:tcPr>
                  <w:tcW w:w="1091" w:type="dxa"/>
                  <w:noWrap w:val="0"/>
                  <w:vAlign w:val="center"/>
                </w:tcPr>
                <w:p w14:paraId="4F906C5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eastAsia" w:ascii="Times New Roman" w:hAnsi="Times New Roman" w:eastAsia="宋体" w:cs="Times New Roman"/>
                      <w:b w:val="0"/>
                      <w:bCs w:val="0"/>
                      <w:color w:val="auto"/>
                      <w:kern w:val="0"/>
                      <w:sz w:val="21"/>
                      <w:szCs w:val="21"/>
                      <w:highlight w:val="none"/>
                      <w:vertAlign w:val="baseline"/>
                      <w:lang w:val="en-US" w:eastAsia="zh-CN" w:bidi="ar"/>
                    </w:rPr>
                    <w:t>易</w:t>
                  </w:r>
                </w:p>
              </w:tc>
              <w:tc>
                <w:tcPr>
                  <w:tcW w:w="1043" w:type="dxa"/>
                  <w:noWrap w:val="0"/>
                  <w:vAlign w:val="center"/>
                </w:tcPr>
                <w:p w14:paraId="446CCDA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42" w:leftChars="-20" w:right="-42" w:rightChars="-2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eastAsia" w:ascii="Times New Roman" w:hAnsi="Times New Roman" w:eastAsia="宋体" w:cs="Times New Roman"/>
                      <w:b w:val="0"/>
                      <w:bCs w:val="0"/>
                      <w:color w:val="auto"/>
                      <w:kern w:val="0"/>
                      <w:sz w:val="21"/>
                      <w:szCs w:val="21"/>
                      <w:highlight w:val="none"/>
                      <w:vertAlign w:val="baseline"/>
                      <w:lang w:val="en-US" w:eastAsia="zh-CN" w:bidi="ar"/>
                    </w:rPr>
                    <w:t>其他类型</w:t>
                  </w:r>
                </w:p>
              </w:tc>
              <w:tc>
                <w:tcPr>
                  <w:tcW w:w="914" w:type="dxa"/>
                  <w:noWrap w:val="0"/>
                  <w:vAlign w:val="center"/>
                </w:tcPr>
                <w:p w14:paraId="615B693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eastAsia" w:ascii="Times New Roman" w:hAnsi="Times New Roman" w:eastAsia="宋体" w:cs="Times New Roman"/>
                      <w:b w:val="0"/>
                      <w:bCs w:val="0"/>
                      <w:color w:val="auto"/>
                      <w:kern w:val="0"/>
                      <w:sz w:val="21"/>
                      <w:szCs w:val="21"/>
                      <w:highlight w:val="none"/>
                      <w:vertAlign w:val="baseline"/>
                      <w:lang w:val="en-US" w:eastAsia="zh-CN" w:bidi="ar"/>
                    </w:rPr>
                    <w:t>简单防渗区</w:t>
                  </w:r>
                </w:p>
              </w:tc>
              <w:tc>
                <w:tcPr>
                  <w:tcW w:w="2569" w:type="dxa"/>
                  <w:noWrap w:val="0"/>
                  <w:vAlign w:val="center"/>
                </w:tcPr>
                <w:p w14:paraId="7E5A2D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一般地面硬化</w:t>
                  </w:r>
                </w:p>
              </w:tc>
            </w:tr>
            <w:tr w14:paraId="30FBA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trPr>
              <w:tc>
                <w:tcPr>
                  <w:tcW w:w="1225" w:type="dxa"/>
                  <w:noWrap w:val="0"/>
                  <w:vAlign w:val="center"/>
                </w:tcPr>
                <w:p w14:paraId="7483436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42" w:leftChars="-20" w:right="-42" w:rightChars="-2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eastAsia" w:ascii="Times New Roman" w:hAnsi="Times New Roman" w:eastAsia="宋体" w:cs="Times New Roman"/>
                      <w:b w:val="0"/>
                      <w:bCs w:val="0"/>
                      <w:color w:val="auto"/>
                      <w:kern w:val="0"/>
                      <w:sz w:val="21"/>
                      <w:szCs w:val="21"/>
                      <w:highlight w:val="none"/>
                      <w:vertAlign w:val="baseline"/>
                      <w:lang w:val="en-US" w:eastAsia="zh-CN" w:bidi="ar"/>
                    </w:rPr>
                    <w:t>一般固废间</w:t>
                  </w:r>
                </w:p>
              </w:tc>
              <w:tc>
                <w:tcPr>
                  <w:tcW w:w="1275" w:type="dxa"/>
                  <w:noWrap w:val="0"/>
                  <w:vAlign w:val="center"/>
                </w:tcPr>
                <w:p w14:paraId="57EFBEC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eastAsia" w:ascii="Times New Roman" w:hAnsi="Times New Roman" w:eastAsia="宋体" w:cs="Times New Roman"/>
                      <w:b w:val="0"/>
                      <w:bCs w:val="0"/>
                      <w:color w:val="auto"/>
                      <w:kern w:val="0"/>
                      <w:sz w:val="21"/>
                      <w:szCs w:val="21"/>
                      <w:highlight w:val="none"/>
                      <w:vertAlign w:val="baseline"/>
                      <w:lang w:val="en-US" w:eastAsia="zh-CN" w:bidi="ar"/>
                    </w:rPr>
                    <w:t>中—强</w:t>
                  </w:r>
                </w:p>
              </w:tc>
              <w:tc>
                <w:tcPr>
                  <w:tcW w:w="1091" w:type="dxa"/>
                  <w:noWrap w:val="0"/>
                  <w:vAlign w:val="center"/>
                </w:tcPr>
                <w:p w14:paraId="5758164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eastAsia" w:ascii="Times New Roman" w:hAnsi="Times New Roman" w:eastAsia="宋体" w:cs="Times New Roman"/>
                      <w:b w:val="0"/>
                      <w:bCs w:val="0"/>
                      <w:color w:val="auto"/>
                      <w:kern w:val="0"/>
                      <w:sz w:val="21"/>
                      <w:szCs w:val="21"/>
                      <w:highlight w:val="none"/>
                      <w:vertAlign w:val="baseline"/>
                      <w:lang w:val="en-US" w:eastAsia="zh-CN" w:bidi="ar"/>
                    </w:rPr>
                    <w:t>易</w:t>
                  </w:r>
                </w:p>
              </w:tc>
              <w:tc>
                <w:tcPr>
                  <w:tcW w:w="1043" w:type="dxa"/>
                  <w:noWrap w:val="0"/>
                  <w:vAlign w:val="center"/>
                </w:tcPr>
                <w:p w14:paraId="05A3B3C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42" w:leftChars="-20" w:right="-42" w:rightChars="-2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eastAsia" w:ascii="Times New Roman" w:hAnsi="Times New Roman" w:eastAsia="宋体" w:cs="Times New Roman"/>
                      <w:b w:val="0"/>
                      <w:bCs w:val="0"/>
                      <w:color w:val="auto"/>
                      <w:kern w:val="0"/>
                      <w:sz w:val="21"/>
                      <w:szCs w:val="21"/>
                      <w:highlight w:val="none"/>
                      <w:vertAlign w:val="baseline"/>
                      <w:lang w:val="en-US" w:eastAsia="zh-CN" w:bidi="ar"/>
                    </w:rPr>
                    <w:t>其他类型</w:t>
                  </w:r>
                </w:p>
              </w:tc>
              <w:tc>
                <w:tcPr>
                  <w:tcW w:w="914" w:type="dxa"/>
                  <w:noWrap w:val="0"/>
                  <w:vAlign w:val="center"/>
                </w:tcPr>
                <w:p w14:paraId="60F2A8D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eastAsia" w:ascii="Times New Roman" w:hAnsi="Times New Roman" w:eastAsia="宋体" w:cs="Times New Roman"/>
                      <w:b w:val="0"/>
                      <w:bCs w:val="0"/>
                      <w:color w:val="auto"/>
                      <w:kern w:val="0"/>
                      <w:sz w:val="21"/>
                      <w:szCs w:val="21"/>
                      <w:highlight w:val="none"/>
                      <w:vertAlign w:val="baseline"/>
                      <w:lang w:val="en-US" w:eastAsia="zh-CN" w:bidi="ar"/>
                    </w:rPr>
                    <w:t>简单防渗区</w:t>
                  </w:r>
                </w:p>
              </w:tc>
              <w:tc>
                <w:tcPr>
                  <w:tcW w:w="2569" w:type="dxa"/>
                  <w:noWrap w:val="0"/>
                  <w:vAlign w:val="center"/>
                </w:tcPr>
                <w:p w14:paraId="7D90FD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符合一般工业固体废物在厂内采用库房或打包工具贮 存，贮存过程应满足相应防渗漏、防雨淋、防扬尘等环境保护的要求</w:t>
                  </w:r>
                </w:p>
              </w:tc>
            </w:tr>
            <w:tr w14:paraId="31023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1225" w:type="dxa"/>
                  <w:noWrap w:val="0"/>
                  <w:vAlign w:val="center"/>
                </w:tcPr>
                <w:p w14:paraId="0343445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42" w:leftChars="-20" w:right="-42" w:rightChars="-2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eastAsia" w:ascii="Times New Roman" w:hAnsi="Times New Roman" w:eastAsia="宋体" w:cs="Times New Roman"/>
                      <w:b w:val="0"/>
                      <w:bCs w:val="0"/>
                      <w:color w:val="auto"/>
                      <w:kern w:val="0"/>
                      <w:sz w:val="21"/>
                      <w:szCs w:val="21"/>
                      <w:highlight w:val="none"/>
                      <w:vertAlign w:val="baseline"/>
                      <w:lang w:val="en-US" w:eastAsia="zh-CN" w:bidi="ar"/>
                    </w:rPr>
                    <w:t>三级化粪池</w:t>
                  </w:r>
                </w:p>
              </w:tc>
              <w:tc>
                <w:tcPr>
                  <w:tcW w:w="1275" w:type="dxa"/>
                  <w:noWrap w:val="0"/>
                  <w:vAlign w:val="center"/>
                </w:tcPr>
                <w:p w14:paraId="3BE0025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eastAsia" w:ascii="Times New Roman" w:hAnsi="Times New Roman" w:eastAsia="宋体" w:cs="Times New Roman"/>
                      <w:b w:val="0"/>
                      <w:bCs w:val="0"/>
                      <w:color w:val="auto"/>
                      <w:kern w:val="0"/>
                      <w:sz w:val="21"/>
                      <w:szCs w:val="21"/>
                      <w:highlight w:val="none"/>
                      <w:vertAlign w:val="baseline"/>
                      <w:lang w:val="en-US" w:eastAsia="zh-CN" w:bidi="ar"/>
                    </w:rPr>
                    <w:t>中—强</w:t>
                  </w:r>
                </w:p>
              </w:tc>
              <w:tc>
                <w:tcPr>
                  <w:tcW w:w="1091" w:type="dxa"/>
                  <w:noWrap w:val="0"/>
                  <w:vAlign w:val="center"/>
                </w:tcPr>
                <w:p w14:paraId="5E145B9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eastAsia" w:ascii="Times New Roman" w:hAnsi="Times New Roman" w:eastAsia="宋体" w:cs="Times New Roman"/>
                      <w:b w:val="0"/>
                      <w:bCs w:val="0"/>
                      <w:color w:val="auto"/>
                      <w:kern w:val="0"/>
                      <w:sz w:val="21"/>
                      <w:szCs w:val="21"/>
                      <w:highlight w:val="none"/>
                      <w:vertAlign w:val="baseline"/>
                      <w:lang w:val="en-US" w:eastAsia="zh-CN" w:bidi="ar"/>
                    </w:rPr>
                    <w:t>易</w:t>
                  </w:r>
                </w:p>
              </w:tc>
              <w:tc>
                <w:tcPr>
                  <w:tcW w:w="1043" w:type="dxa"/>
                  <w:noWrap w:val="0"/>
                  <w:vAlign w:val="center"/>
                </w:tcPr>
                <w:p w14:paraId="43D1D03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42" w:leftChars="-20" w:right="-42" w:rightChars="-2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eastAsia" w:ascii="Times New Roman" w:hAnsi="Times New Roman" w:eastAsia="宋体" w:cs="Times New Roman"/>
                      <w:b w:val="0"/>
                      <w:bCs w:val="0"/>
                      <w:color w:val="auto"/>
                      <w:kern w:val="0"/>
                      <w:sz w:val="21"/>
                      <w:szCs w:val="21"/>
                      <w:highlight w:val="none"/>
                      <w:vertAlign w:val="baseline"/>
                      <w:lang w:val="en-US" w:eastAsia="zh-CN" w:bidi="ar"/>
                    </w:rPr>
                    <w:t>其他类型</w:t>
                  </w:r>
                </w:p>
              </w:tc>
              <w:tc>
                <w:tcPr>
                  <w:tcW w:w="914" w:type="dxa"/>
                  <w:noWrap w:val="0"/>
                  <w:vAlign w:val="center"/>
                </w:tcPr>
                <w:p w14:paraId="72E19DE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eastAsia" w:ascii="Times New Roman" w:hAnsi="Times New Roman" w:eastAsia="宋体" w:cs="Times New Roman"/>
                      <w:b w:val="0"/>
                      <w:bCs w:val="0"/>
                      <w:color w:val="auto"/>
                      <w:kern w:val="0"/>
                      <w:sz w:val="21"/>
                      <w:szCs w:val="21"/>
                      <w:highlight w:val="none"/>
                      <w:vertAlign w:val="baseline"/>
                      <w:lang w:val="en-US" w:eastAsia="zh-CN" w:bidi="ar"/>
                    </w:rPr>
                    <w:t>简单防渗区</w:t>
                  </w:r>
                </w:p>
              </w:tc>
              <w:tc>
                <w:tcPr>
                  <w:tcW w:w="2569" w:type="dxa"/>
                  <w:noWrap w:val="0"/>
                  <w:vAlign w:val="center"/>
                </w:tcPr>
                <w:p w14:paraId="4610DF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无裂缝、无渗漏，定期对隔油隔渣池、三级化粪池清淤，避免堵塞漫流</w:t>
                  </w:r>
                </w:p>
                <w:p w14:paraId="3B6AA5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21"/>
                      <w:szCs w:val="21"/>
                      <w:highlight w:val="none"/>
                      <w:lang w:val="en-US" w:eastAsia="zh-CN"/>
                    </w:rPr>
                  </w:pPr>
                </w:p>
              </w:tc>
            </w:tr>
          </w:tbl>
          <w:p w14:paraId="4C838768">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针对防渗分区的划分，主要采取以下措施：</w:t>
            </w:r>
          </w:p>
          <w:p w14:paraId="5700D7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 xml:space="preserve">（1）危险废物暂存间 </w:t>
            </w:r>
          </w:p>
          <w:p w14:paraId="0B5987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 xml:space="preserve">①危险废物暂存间设置漫坡，防止储存区内泄漏物料外流。 </w:t>
            </w:r>
          </w:p>
          <w:p w14:paraId="1D3B64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②危险废物暂存间属于地下水重点防</w:t>
            </w:r>
            <w:r>
              <w:rPr>
                <w:rFonts w:hint="eastAsia" w:ascii="Times New Roman" w:hAnsi="Times New Roman" w:eastAsia="宋体" w:cs="Times New Roman"/>
                <w:color w:val="auto"/>
                <w:sz w:val="24"/>
                <w:szCs w:val="24"/>
                <w:highlight w:val="none"/>
                <w:lang w:val="en-US" w:eastAsia="zh-CN"/>
              </w:rPr>
              <w:t>渗</w:t>
            </w:r>
            <w:r>
              <w:rPr>
                <w:rFonts w:hint="default" w:ascii="Times New Roman" w:hAnsi="Times New Roman" w:eastAsia="宋体" w:cs="Times New Roman"/>
                <w:color w:val="auto"/>
                <w:sz w:val="24"/>
                <w:szCs w:val="24"/>
                <w:highlight w:val="none"/>
                <w:lang w:val="en-US" w:eastAsia="zh-CN"/>
              </w:rPr>
              <w:t>区，地面</w:t>
            </w:r>
            <w:r>
              <w:rPr>
                <w:rFonts w:hint="eastAsia" w:ascii="Times New Roman" w:hAnsi="Times New Roman" w:eastAsia="宋体" w:cs="Times New Roman"/>
                <w:color w:val="auto"/>
                <w:sz w:val="24"/>
                <w:szCs w:val="24"/>
                <w:highlight w:val="none"/>
                <w:lang w:val="en-US" w:eastAsia="zh-CN"/>
              </w:rPr>
              <w:t>应按照危废间的管理要求</w:t>
            </w:r>
            <w:r>
              <w:rPr>
                <w:rFonts w:hint="default" w:ascii="Times New Roman" w:hAnsi="Times New Roman" w:eastAsia="宋体" w:cs="Times New Roman"/>
                <w:color w:val="auto"/>
                <w:sz w:val="24"/>
                <w:szCs w:val="24"/>
                <w:highlight w:val="none"/>
                <w:lang w:val="en-US" w:eastAsia="zh-CN"/>
              </w:rPr>
              <w:t xml:space="preserve">进行防渗处理，可避免泄漏液态危险废物下渗，避免对地下水的影响。 </w:t>
            </w:r>
          </w:p>
          <w:p w14:paraId="659357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④危险废物暂存间</w:t>
            </w:r>
            <w:r>
              <w:rPr>
                <w:rFonts w:hint="eastAsia" w:ascii="Times New Roman" w:hAnsi="Times New Roman" w:eastAsia="宋体" w:cs="Times New Roman"/>
                <w:color w:val="auto"/>
                <w:sz w:val="24"/>
                <w:szCs w:val="24"/>
                <w:highlight w:val="none"/>
                <w:lang w:val="en-US" w:eastAsia="zh-CN"/>
              </w:rPr>
              <w:t>分区放置危废，液态废物暂存于</w:t>
            </w:r>
            <w:r>
              <w:rPr>
                <w:rFonts w:hint="default" w:ascii="Times New Roman" w:hAnsi="Times New Roman" w:eastAsia="宋体" w:cs="Times New Roman"/>
                <w:color w:val="auto"/>
                <w:sz w:val="24"/>
                <w:szCs w:val="24"/>
                <w:highlight w:val="none"/>
                <w:lang w:val="en-US" w:eastAsia="zh-CN"/>
              </w:rPr>
              <w:t>围堰</w:t>
            </w:r>
            <w:r>
              <w:rPr>
                <w:rFonts w:hint="eastAsia" w:ascii="Times New Roman" w:hAnsi="Times New Roman" w:eastAsia="宋体" w:cs="Times New Roman"/>
                <w:color w:val="auto"/>
                <w:sz w:val="24"/>
                <w:szCs w:val="24"/>
                <w:highlight w:val="none"/>
                <w:lang w:val="en-US" w:eastAsia="zh-CN"/>
              </w:rPr>
              <w:t>内</w:t>
            </w:r>
            <w:r>
              <w:rPr>
                <w:rFonts w:hint="default" w:ascii="Times New Roman" w:hAnsi="Times New Roman" w:eastAsia="宋体" w:cs="Times New Roman"/>
                <w:color w:val="auto"/>
                <w:sz w:val="24"/>
                <w:szCs w:val="24"/>
                <w:highlight w:val="none"/>
                <w:lang w:val="en-US" w:eastAsia="zh-CN"/>
              </w:rPr>
              <w:t xml:space="preserve">，可阻截泄漏的液态危险废物。 </w:t>
            </w:r>
          </w:p>
          <w:p w14:paraId="61BE6F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 xml:space="preserve">一般情况下，一旦发现危险废物泄漏时及时进行处理，污染源的存在只是短时的间断存在，只要及时发现，及时处理，污染物作用时间短，很难穿透基础防渗层，因此，其对地下水影响较小。 </w:t>
            </w:r>
          </w:p>
          <w:p w14:paraId="1F6FE9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 xml:space="preserve">（2）生产车间 </w:t>
            </w:r>
          </w:p>
          <w:p w14:paraId="1E0511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建设单位租用已建成厂房进行生产，经现场踏勘，车间已地面硬底化，建议在油墨堆放、印刷车间区域采取表面防渗措施，如环氧树脂防渗漆</w:t>
            </w:r>
            <w:r>
              <w:rPr>
                <w:rFonts w:hint="default" w:ascii="Times New Roman" w:hAnsi="Times New Roman" w:eastAsia="宋体" w:cs="Times New Roman"/>
                <w:color w:val="auto"/>
                <w:sz w:val="24"/>
                <w:szCs w:val="24"/>
                <w:highlight w:val="none"/>
                <w:lang w:val="en-US" w:eastAsia="zh-CN"/>
              </w:rPr>
              <w:t xml:space="preserve">。 </w:t>
            </w:r>
          </w:p>
          <w:p w14:paraId="146AC1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由污染途径及对应措施分析可知，项目对可能产生地下水、土壤影响的各项途径均进行有效预防，在做好各项防渗措施，并加强维护和厂区环境管理的基础上，可有效控制厂区内的液态危险废物等污染物下渗现象，不会出现污染地下水、土壤的情况。</w:t>
            </w:r>
          </w:p>
          <w:p w14:paraId="77CD8D11">
            <w:pPr>
              <w:keepNext w:val="0"/>
              <w:keepLines w:val="0"/>
              <w:widowControl/>
              <w:numPr>
                <w:ilvl w:val="0"/>
                <w:numId w:val="0"/>
              </w:numPr>
              <w:suppressLineNumbers w:val="0"/>
              <w:spacing w:before="0" w:beforeAutospacing="0" w:after="0" w:afterAutospacing="0" w:line="360" w:lineRule="auto"/>
              <w:ind w:left="420" w:leftChars="200" w:right="0"/>
              <w:jc w:val="left"/>
              <w:rPr>
                <w:rFonts w:hint="eastAsia" w:ascii="Times New Roman" w:hAnsi="Times New Roman" w:eastAsia="宋体" w:cs="Times New Roman"/>
                <w:b/>
                <w:bCs/>
                <w:color w:val="auto"/>
                <w:kern w:val="0"/>
                <w:sz w:val="24"/>
                <w:szCs w:val="24"/>
                <w:highlight w:val="none"/>
                <w:lang w:val="en-US" w:eastAsia="zh-CN" w:bidi="ar"/>
              </w:rPr>
            </w:pPr>
            <w:r>
              <w:rPr>
                <w:rFonts w:hint="eastAsia" w:ascii="Times New Roman" w:hAnsi="Times New Roman" w:eastAsia="宋体" w:cs="Times New Roman"/>
                <w:b/>
                <w:bCs/>
                <w:color w:val="auto"/>
                <w:kern w:val="0"/>
                <w:sz w:val="24"/>
                <w:szCs w:val="24"/>
                <w:highlight w:val="none"/>
                <w:lang w:val="en-US" w:eastAsia="zh-CN" w:bidi="ar"/>
              </w:rPr>
              <w:t>3、跟踪监测</w:t>
            </w:r>
          </w:p>
          <w:p w14:paraId="7E7D13E4">
            <w:pPr>
              <w:keepNext w:val="0"/>
              <w:keepLines w:val="0"/>
              <w:widowControl/>
              <w:numPr>
                <w:ilvl w:val="0"/>
                <w:numId w:val="0"/>
              </w:numPr>
              <w:suppressLineNumbers w:val="0"/>
              <w:spacing w:before="0" w:beforeAutospacing="0" w:after="0" w:afterAutospacing="0" w:line="360" w:lineRule="auto"/>
              <w:ind w:left="420" w:leftChars="200" w:right="0"/>
              <w:jc w:val="left"/>
              <w:rPr>
                <w:rFonts w:hint="default" w:ascii="Times New Roman" w:hAnsi="Times New Roman" w:eastAsia="宋体" w:cs="Times New Roman"/>
                <w:b w:val="0"/>
                <w:bCs w:val="0"/>
                <w:color w:val="auto"/>
                <w:kern w:val="0"/>
                <w:sz w:val="24"/>
                <w:szCs w:val="24"/>
                <w:highlight w:val="none"/>
                <w:lang w:val="en-US" w:eastAsia="zh-CN" w:bidi="ar"/>
              </w:rPr>
            </w:pPr>
            <w:r>
              <w:rPr>
                <w:rFonts w:hint="eastAsia" w:ascii="Times New Roman" w:hAnsi="Times New Roman" w:eastAsia="宋体" w:cs="Times New Roman"/>
                <w:b w:val="0"/>
                <w:bCs w:val="0"/>
                <w:color w:val="auto"/>
                <w:kern w:val="0"/>
                <w:sz w:val="24"/>
                <w:szCs w:val="24"/>
                <w:highlight w:val="none"/>
                <w:lang w:val="en-US" w:eastAsia="zh-CN" w:bidi="ar"/>
              </w:rPr>
              <w:t>运行期间对地下水和土壤无污染途径，不再布设跟踪监测点。</w:t>
            </w:r>
          </w:p>
          <w:p w14:paraId="2EE7566E">
            <w:pPr>
              <w:pStyle w:val="19"/>
              <w:keepNext w:val="0"/>
              <w:keepLines w:val="0"/>
              <w:suppressLineNumbers w:val="0"/>
              <w:spacing w:before="0" w:beforeAutospacing="0" w:after="0" w:afterAutospacing="0" w:line="360" w:lineRule="auto"/>
              <w:ind w:left="0" w:leftChars="0" w:right="0" w:firstLine="482" w:firstLineChars="200"/>
              <w:rPr>
                <w:rFonts w:hint="default" w:ascii="Times New Roman" w:hAnsi="Times New Roman" w:eastAsia="宋体" w:cs="Times New Roman"/>
                <w:b/>
                <w:bCs/>
                <w:color w:val="auto"/>
                <w:sz w:val="24"/>
                <w:szCs w:val="22"/>
                <w:highlight w:val="none"/>
              </w:rPr>
            </w:pPr>
            <w:r>
              <w:rPr>
                <w:rFonts w:hint="eastAsia" w:ascii="Times New Roman" w:hAnsi="Times New Roman" w:eastAsia="宋体" w:cs="Times New Roman"/>
                <w:b/>
                <w:bCs/>
                <w:color w:val="auto"/>
                <w:sz w:val="24"/>
                <w:szCs w:val="22"/>
                <w:highlight w:val="none"/>
                <w:lang w:val="en-US" w:eastAsia="zh-CN"/>
              </w:rPr>
              <w:t>六、</w:t>
            </w:r>
            <w:r>
              <w:rPr>
                <w:rFonts w:hint="default" w:ascii="Times New Roman" w:hAnsi="Times New Roman" w:eastAsia="宋体" w:cs="Times New Roman"/>
                <w:b/>
                <w:bCs/>
                <w:color w:val="auto"/>
                <w:sz w:val="24"/>
                <w:szCs w:val="22"/>
                <w:highlight w:val="none"/>
              </w:rPr>
              <w:t>生态</w:t>
            </w:r>
          </w:p>
          <w:p w14:paraId="0CDFE262">
            <w:pPr>
              <w:pStyle w:val="19"/>
              <w:keepNext w:val="0"/>
              <w:keepLines w:val="0"/>
              <w:suppressLineNumbers w:val="0"/>
              <w:spacing w:before="0" w:beforeAutospacing="0" w:after="0" w:afterAutospacing="0" w:line="360" w:lineRule="auto"/>
              <w:ind w:left="0" w:leftChars="0" w:right="0" w:firstLine="480" w:firstLineChars="200"/>
              <w:rPr>
                <w:rFonts w:hint="default" w:ascii="Times New Roman" w:hAnsi="Times New Roman" w:eastAsia="宋体" w:cs="Times New Roman"/>
                <w:b w:val="0"/>
                <w:bCs w:val="0"/>
                <w:color w:val="auto"/>
                <w:sz w:val="24"/>
                <w:szCs w:val="22"/>
                <w:highlight w:val="none"/>
                <w:lang w:val="en-US" w:eastAsia="zh-CN"/>
              </w:rPr>
            </w:pPr>
            <w:r>
              <w:rPr>
                <w:rFonts w:hint="eastAsia" w:ascii="Times New Roman" w:hAnsi="Times New Roman" w:eastAsia="宋体" w:cs="Times New Roman"/>
                <w:b w:val="0"/>
                <w:bCs w:val="0"/>
                <w:color w:val="auto"/>
                <w:sz w:val="24"/>
                <w:szCs w:val="22"/>
                <w:highlight w:val="none"/>
                <w:lang w:val="en-US" w:eastAsia="zh-CN"/>
              </w:rPr>
              <w:t>本项目厂房为租用，属于已建成的工业厂房，用地范围内无生态环境保护目标</w:t>
            </w:r>
            <w:r>
              <w:rPr>
                <w:rFonts w:hint="default" w:ascii="Times New Roman" w:hAnsi="Times New Roman" w:eastAsia="宋体" w:cs="Times New Roman"/>
                <w:b w:val="0"/>
                <w:bCs w:val="0"/>
                <w:color w:val="auto"/>
                <w:sz w:val="24"/>
                <w:szCs w:val="22"/>
                <w:highlight w:val="none"/>
              </w:rPr>
              <w:t>。</w:t>
            </w:r>
            <w:r>
              <w:rPr>
                <w:rFonts w:hint="eastAsia" w:ascii="Times New Roman" w:hAnsi="Times New Roman" w:eastAsia="宋体" w:cs="Times New Roman"/>
                <w:b w:val="0"/>
                <w:bCs w:val="0"/>
                <w:color w:val="auto"/>
                <w:sz w:val="24"/>
                <w:szCs w:val="22"/>
                <w:highlight w:val="none"/>
                <w:lang w:val="en-US" w:eastAsia="zh-CN"/>
              </w:rPr>
              <w:t>因此项目基本不会对所在地生态环境造成影响。</w:t>
            </w:r>
          </w:p>
          <w:p w14:paraId="66335362">
            <w:pPr>
              <w:pStyle w:val="19"/>
              <w:keepNext w:val="0"/>
              <w:keepLines w:val="0"/>
              <w:suppressLineNumbers w:val="0"/>
              <w:spacing w:before="0" w:beforeAutospacing="0" w:after="0" w:afterAutospacing="0" w:line="360" w:lineRule="auto"/>
              <w:ind w:left="0" w:leftChars="0" w:right="0" w:firstLine="482" w:firstLineChars="200"/>
              <w:rPr>
                <w:rFonts w:hint="default" w:ascii="Times New Roman" w:hAnsi="Times New Roman" w:eastAsia="宋体" w:cs="Times New Roman"/>
                <w:b/>
                <w:bCs/>
                <w:color w:val="auto"/>
                <w:sz w:val="24"/>
                <w:szCs w:val="22"/>
                <w:highlight w:val="none"/>
              </w:rPr>
            </w:pPr>
            <w:r>
              <w:rPr>
                <w:rFonts w:hint="eastAsia" w:ascii="Times New Roman" w:hAnsi="Times New Roman" w:eastAsia="宋体" w:cs="Times New Roman"/>
                <w:b/>
                <w:bCs/>
                <w:color w:val="auto"/>
                <w:sz w:val="24"/>
                <w:szCs w:val="22"/>
                <w:highlight w:val="none"/>
                <w:lang w:val="en-US" w:eastAsia="zh-CN"/>
              </w:rPr>
              <w:t>七、</w:t>
            </w:r>
            <w:r>
              <w:rPr>
                <w:rFonts w:hint="default" w:ascii="Times New Roman" w:hAnsi="Times New Roman" w:eastAsia="宋体" w:cs="Times New Roman"/>
                <w:b/>
                <w:bCs/>
                <w:color w:val="auto"/>
                <w:sz w:val="24"/>
                <w:szCs w:val="22"/>
                <w:highlight w:val="none"/>
              </w:rPr>
              <w:t>环境风险</w:t>
            </w:r>
          </w:p>
          <w:p w14:paraId="24A0C2C6">
            <w:pPr>
              <w:pStyle w:val="19"/>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2"/>
                <w:highlight w:val="none"/>
              </w:rPr>
            </w:pPr>
            <w:r>
              <w:rPr>
                <w:rFonts w:hint="default" w:ascii="Times New Roman" w:hAnsi="Times New Roman" w:eastAsia="宋体" w:cs="Times New Roman"/>
                <w:color w:val="auto"/>
                <w:sz w:val="24"/>
                <w:szCs w:val="22"/>
                <w:highlight w:val="none"/>
              </w:rPr>
              <w:t>环境风险评价的目的是分析和预测建设项目存在的潜在危险、有害因素，项目建设和运行期间可能发生的突发性事件或事故（一般不包括人为破坏及自然灾害），引起有毒有害和易燃易爆等物质泄漏，所造成的人身安全与环境影响和损害程度，提出合理可行的防范、应急与减缓措施，以使建设项目事故率、损失和环境影响达到可接受水平。</w:t>
            </w:r>
          </w:p>
          <w:p w14:paraId="09775E61">
            <w:pPr>
              <w:pStyle w:val="19"/>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szCs w:val="22"/>
                <w:highlight w:val="none"/>
              </w:rPr>
            </w:pPr>
            <w:r>
              <w:rPr>
                <w:rFonts w:hint="eastAsia" w:ascii="Times New Roman" w:hAnsi="Times New Roman" w:eastAsia="宋体" w:cs="Times New Roman"/>
                <w:b/>
                <w:bCs/>
                <w:color w:val="auto"/>
                <w:sz w:val="24"/>
                <w:szCs w:val="22"/>
                <w:highlight w:val="none"/>
                <w:lang w:val="en-US" w:eastAsia="zh-CN"/>
              </w:rPr>
              <w:t>1、危险物质识别</w:t>
            </w:r>
          </w:p>
          <w:p w14:paraId="502BB874">
            <w:pPr>
              <w:pStyle w:val="19"/>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2"/>
                <w:highlight w:val="none"/>
              </w:rPr>
            </w:pPr>
            <w:r>
              <w:rPr>
                <w:rFonts w:hint="eastAsia" w:ascii="Times New Roman" w:hAnsi="Times New Roman" w:eastAsia="宋体" w:cs="Times New Roman"/>
                <w:color w:val="auto"/>
                <w:sz w:val="24"/>
                <w:szCs w:val="22"/>
                <w:highlight w:val="none"/>
                <w:lang w:val="en-US" w:eastAsia="zh-CN"/>
              </w:rPr>
              <w:t>对照</w:t>
            </w:r>
            <w:r>
              <w:rPr>
                <w:rFonts w:hint="default" w:ascii="Times New Roman" w:hAnsi="Times New Roman" w:eastAsia="宋体" w:cs="Times New Roman"/>
                <w:color w:val="auto"/>
                <w:sz w:val="24"/>
                <w:szCs w:val="22"/>
                <w:highlight w:val="none"/>
              </w:rPr>
              <w:t>《建设项目环境风险评价技术导则》 （HJ169-2018）</w:t>
            </w:r>
            <w:r>
              <w:rPr>
                <w:rFonts w:hint="eastAsia" w:ascii="Times New Roman" w:hAnsi="Times New Roman" w:eastAsia="宋体" w:cs="Times New Roman"/>
                <w:color w:val="auto"/>
                <w:sz w:val="24"/>
                <w:szCs w:val="22"/>
                <w:highlight w:val="none"/>
                <w:lang w:val="en-US" w:eastAsia="zh-CN"/>
              </w:rPr>
              <w:t>附录B</w:t>
            </w:r>
            <w:r>
              <w:rPr>
                <w:rFonts w:hint="default" w:ascii="Times New Roman" w:hAnsi="Times New Roman" w:eastAsia="宋体" w:cs="Times New Roman"/>
                <w:color w:val="auto"/>
                <w:sz w:val="24"/>
                <w:szCs w:val="22"/>
                <w:highlight w:val="none"/>
              </w:rPr>
              <w:t>，</w:t>
            </w:r>
            <w:r>
              <w:rPr>
                <w:rFonts w:hint="eastAsia" w:ascii="Times New Roman" w:hAnsi="Times New Roman" w:eastAsia="宋体" w:cs="Times New Roman"/>
                <w:color w:val="auto"/>
                <w:sz w:val="24"/>
                <w:szCs w:val="22"/>
                <w:highlight w:val="none"/>
                <w:lang w:val="en-US" w:eastAsia="zh-CN"/>
              </w:rPr>
              <w:t>本项目的危险物质为</w:t>
            </w:r>
            <w:r>
              <w:rPr>
                <w:rFonts w:hint="eastAsia" w:ascii="Times New Roman" w:hAnsi="Times New Roman" w:cs="Times New Roman"/>
                <w:color w:val="auto"/>
                <w:sz w:val="24"/>
                <w:szCs w:val="22"/>
                <w:highlight w:val="none"/>
                <w:lang w:val="en-US" w:eastAsia="zh-CN"/>
              </w:rPr>
              <w:t>大豆油墨、</w:t>
            </w:r>
            <w:r>
              <w:rPr>
                <w:rFonts w:hint="eastAsia" w:ascii="Times New Roman" w:hAnsi="Times New Roman" w:eastAsia="宋体" w:cs="Times New Roman"/>
                <w:color w:val="auto"/>
                <w:sz w:val="24"/>
                <w:szCs w:val="22"/>
                <w:highlight w:val="none"/>
                <w:lang w:val="en-US" w:eastAsia="zh-CN"/>
              </w:rPr>
              <w:t>水性光油、清洗剂、润版液、天那水以及使用过程中产生的废桶/瓶，废气治理设施产生的废活性炭，废机油</w:t>
            </w:r>
            <w:r>
              <w:rPr>
                <w:rFonts w:hint="default" w:ascii="Times New Roman" w:hAnsi="Times New Roman" w:eastAsia="宋体" w:cs="Times New Roman"/>
                <w:color w:val="auto"/>
                <w:sz w:val="24"/>
                <w:szCs w:val="22"/>
                <w:highlight w:val="none"/>
              </w:rPr>
              <w:t>。</w:t>
            </w:r>
          </w:p>
          <w:p w14:paraId="3746EF18">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highlight w:val="none"/>
                <w:lang w:val="en-US" w:eastAsia="zh-CN"/>
              </w:rPr>
            </w:pPr>
            <w:r>
              <w:rPr>
                <w:rFonts w:hint="eastAsia" w:ascii="Times New Roman" w:hAnsi="Times New Roman" w:cs="Times New Roman"/>
                <w:b/>
                <w:bCs/>
                <w:color w:val="auto"/>
                <w:highlight w:val="none"/>
                <w:lang w:val="en-US" w:eastAsia="zh-CN"/>
              </w:rPr>
              <w:t>表</w:t>
            </w:r>
            <w:r>
              <w:rPr>
                <w:rFonts w:hint="eastAsia" w:cs="Times New Roman"/>
                <w:b/>
                <w:bCs/>
                <w:color w:val="auto"/>
                <w:highlight w:val="none"/>
                <w:lang w:val="en-US" w:eastAsia="zh-CN"/>
              </w:rPr>
              <w:t>4-23</w:t>
            </w:r>
            <w:r>
              <w:rPr>
                <w:rFonts w:hint="eastAsia" w:ascii="Times New Roman" w:hAnsi="Times New Roman" w:cs="Times New Roman"/>
                <w:b/>
                <w:bCs/>
                <w:color w:val="auto"/>
                <w:highlight w:val="none"/>
                <w:lang w:val="en-US" w:eastAsia="zh-CN"/>
              </w:rPr>
              <w:t xml:space="preserve"> 项目环境危险物质一览表</w:t>
            </w:r>
          </w:p>
          <w:tbl>
            <w:tblPr>
              <w:tblStyle w:val="32"/>
              <w:tblW w:w="81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5"/>
              <w:gridCol w:w="1709"/>
              <w:gridCol w:w="2035"/>
              <w:gridCol w:w="1572"/>
              <w:gridCol w:w="1186"/>
            </w:tblGrid>
            <w:tr w14:paraId="35571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5" w:type="dxa"/>
                  <w:noWrap w:val="0"/>
                  <w:vAlign w:val="center"/>
                </w:tcPr>
                <w:p w14:paraId="1367D017">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危险物质</w:t>
                  </w:r>
                </w:p>
              </w:tc>
              <w:tc>
                <w:tcPr>
                  <w:tcW w:w="1709" w:type="dxa"/>
                  <w:noWrap w:val="0"/>
                  <w:vAlign w:val="center"/>
                </w:tcPr>
                <w:p w14:paraId="64B53DDF">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物质名称</w:t>
                  </w:r>
                </w:p>
              </w:tc>
              <w:tc>
                <w:tcPr>
                  <w:tcW w:w="2035" w:type="dxa"/>
                  <w:noWrap w:val="0"/>
                  <w:vAlign w:val="center"/>
                </w:tcPr>
                <w:p w14:paraId="231C947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最大存在总量，t</w:t>
                  </w:r>
                </w:p>
              </w:tc>
              <w:tc>
                <w:tcPr>
                  <w:tcW w:w="1572" w:type="dxa"/>
                  <w:noWrap w:val="0"/>
                  <w:vAlign w:val="center"/>
                </w:tcPr>
                <w:p w14:paraId="6384855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临界量，t</w:t>
                  </w:r>
                </w:p>
              </w:tc>
              <w:tc>
                <w:tcPr>
                  <w:tcW w:w="1186" w:type="dxa"/>
                  <w:noWrap w:val="0"/>
                  <w:vAlign w:val="center"/>
                </w:tcPr>
                <w:p w14:paraId="16F1E6F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Q值</w:t>
                  </w:r>
                </w:p>
              </w:tc>
            </w:tr>
            <w:tr w14:paraId="145D1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5" w:type="dxa"/>
                  <w:vMerge w:val="restart"/>
                  <w:noWrap w:val="0"/>
                  <w:vAlign w:val="center"/>
                </w:tcPr>
                <w:p w14:paraId="7D267065">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健康危险急性毒性物质（类别2，类别3）</w:t>
                  </w:r>
                </w:p>
              </w:tc>
              <w:tc>
                <w:tcPr>
                  <w:tcW w:w="1709" w:type="dxa"/>
                  <w:noWrap w:val="0"/>
                  <w:vAlign w:val="center"/>
                </w:tcPr>
                <w:p w14:paraId="171790C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大豆油墨</w:t>
                  </w:r>
                </w:p>
              </w:tc>
              <w:tc>
                <w:tcPr>
                  <w:tcW w:w="2035" w:type="dxa"/>
                  <w:noWrap w:val="0"/>
                  <w:vAlign w:val="center"/>
                </w:tcPr>
                <w:p w14:paraId="1FC81D5F">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0.2</w:t>
                  </w:r>
                </w:p>
              </w:tc>
              <w:tc>
                <w:tcPr>
                  <w:tcW w:w="1572" w:type="dxa"/>
                  <w:noWrap w:val="0"/>
                  <w:vAlign w:val="center"/>
                </w:tcPr>
                <w:p w14:paraId="3ABA66C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50</w:t>
                  </w:r>
                </w:p>
              </w:tc>
              <w:tc>
                <w:tcPr>
                  <w:tcW w:w="1186" w:type="dxa"/>
                  <w:noWrap w:val="0"/>
                  <w:vAlign w:val="center"/>
                </w:tcPr>
                <w:p w14:paraId="77694F1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0.004</w:t>
                  </w:r>
                </w:p>
              </w:tc>
            </w:tr>
            <w:tr w14:paraId="34010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5" w:type="dxa"/>
                  <w:vMerge w:val="continue"/>
                  <w:noWrap w:val="0"/>
                  <w:vAlign w:val="center"/>
                </w:tcPr>
                <w:p w14:paraId="5EA8FD05">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rPr>
                  </w:pPr>
                </w:p>
              </w:tc>
              <w:tc>
                <w:tcPr>
                  <w:tcW w:w="1709" w:type="dxa"/>
                  <w:noWrap w:val="0"/>
                  <w:vAlign w:val="center"/>
                </w:tcPr>
                <w:p w14:paraId="16A9BAA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水性光油</w:t>
                  </w:r>
                </w:p>
              </w:tc>
              <w:tc>
                <w:tcPr>
                  <w:tcW w:w="2035" w:type="dxa"/>
                  <w:noWrap w:val="0"/>
                  <w:vAlign w:val="center"/>
                </w:tcPr>
                <w:p w14:paraId="0122C6F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0.1</w:t>
                  </w:r>
                </w:p>
              </w:tc>
              <w:tc>
                <w:tcPr>
                  <w:tcW w:w="1572" w:type="dxa"/>
                  <w:noWrap w:val="0"/>
                  <w:vAlign w:val="center"/>
                </w:tcPr>
                <w:p w14:paraId="3E45194C">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50</w:t>
                  </w:r>
                </w:p>
              </w:tc>
              <w:tc>
                <w:tcPr>
                  <w:tcW w:w="1186" w:type="dxa"/>
                  <w:noWrap w:val="0"/>
                  <w:vAlign w:val="center"/>
                </w:tcPr>
                <w:p w14:paraId="62D16C8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0.002</w:t>
                  </w:r>
                </w:p>
              </w:tc>
            </w:tr>
            <w:tr w14:paraId="2171A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5" w:type="dxa"/>
                  <w:vMerge w:val="continue"/>
                  <w:noWrap w:val="0"/>
                  <w:vAlign w:val="center"/>
                </w:tcPr>
                <w:p w14:paraId="7239C97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rPr>
                  </w:pPr>
                </w:p>
              </w:tc>
              <w:tc>
                <w:tcPr>
                  <w:tcW w:w="1709" w:type="dxa"/>
                  <w:noWrap w:val="0"/>
                  <w:vAlign w:val="center"/>
                </w:tcPr>
                <w:p w14:paraId="5F416A6F">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bookmarkStart w:id="5" w:name="OLE_LINK3"/>
                  <w:r>
                    <w:rPr>
                      <w:rFonts w:hint="eastAsia" w:ascii="Times New Roman" w:hAnsi="Times New Roman" w:cs="Times New Roman"/>
                      <w:color w:val="auto"/>
                      <w:sz w:val="21"/>
                      <w:szCs w:val="21"/>
                      <w:highlight w:val="none"/>
                      <w:vertAlign w:val="baseline"/>
                      <w:lang w:val="en-US" w:eastAsia="zh-CN"/>
                    </w:rPr>
                    <w:t>天那水</w:t>
                  </w:r>
                  <w:bookmarkEnd w:id="5"/>
                </w:p>
              </w:tc>
              <w:tc>
                <w:tcPr>
                  <w:tcW w:w="2035" w:type="dxa"/>
                  <w:noWrap w:val="0"/>
                  <w:vAlign w:val="center"/>
                </w:tcPr>
                <w:p w14:paraId="5E75B206">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0.1</w:t>
                  </w:r>
                </w:p>
              </w:tc>
              <w:tc>
                <w:tcPr>
                  <w:tcW w:w="1572" w:type="dxa"/>
                  <w:noWrap w:val="0"/>
                  <w:vAlign w:val="center"/>
                </w:tcPr>
                <w:p w14:paraId="7096117C">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50</w:t>
                  </w:r>
                </w:p>
              </w:tc>
              <w:tc>
                <w:tcPr>
                  <w:tcW w:w="1186" w:type="dxa"/>
                  <w:noWrap w:val="0"/>
                  <w:vAlign w:val="center"/>
                </w:tcPr>
                <w:p w14:paraId="6558D3D4">
                  <w:pPr>
                    <w:keepNext w:val="0"/>
                    <w:keepLines w:val="0"/>
                    <w:widowControl/>
                    <w:suppressLineNumbers w:val="0"/>
                    <w:jc w:val="center"/>
                    <w:textAlignment w:val="center"/>
                    <w:rPr>
                      <w:rFonts w:hint="eastAsia"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0.002</w:t>
                  </w:r>
                </w:p>
              </w:tc>
            </w:tr>
            <w:tr w14:paraId="6C84F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5" w:type="dxa"/>
                  <w:vMerge w:val="continue"/>
                  <w:noWrap w:val="0"/>
                  <w:vAlign w:val="center"/>
                </w:tcPr>
                <w:p w14:paraId="3AA0E66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rPr>
                  </w:pPr>
                </w:p>
              </w:tc>
              <w:tc>
                <w:tcPr>
                  <w:tcW w:w="1709" w:type="dxa"/>
                  <w:noWrap w:val="0"/>
                  <w:vAlign w:val="center"/>
                </w:tcPr>
                <w:p w14:paraId="01D4A76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清洗剂</w:t>
                  </w:r>
                </w:p>
              </w:tc>
              <w:tc>
                <w:tcPr>
                  <w:tcW w:w="2035" w:type="dxa"/>
                  <w:noWrap w:val="0"/>
                  <w:vAlign w:val="center"/>
                </w:tcPr>
                <w:p w14:paraId="0DC8261D">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0.04</w:t>
                  </w:r>
                </w:p>
              </w:tc>
              <w:tc>
                <w:tcPr>
                  <w:tcW w:w="1572" w:type="dxa"/>
                  <w:noWrap w:val="0"/>
                  <w:vAlign w:val="center"/>
                </w:tcPr>
                <w:p w14:paraId="02A00A7D">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50</w:t>
                  </w:r>
                </w:p>
              </w:tc>
              <w:tc>
                <w:tcPr>
                  <w:tcW w:w="1186" w:type="dxa"/>
                  <w:noWrap w:val="0"/>
                  <w:vAlign w:val="center"/>
                </w:tcPr>
                <w:p w14:paraId="73E3361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0.0008</w:t>
                  </w:r>
                </w:p>
              </w:tc>
            </w:tr>
            <w:tr w14:paraId="08312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5" w:type="dxa"/>
                  <w:vMerge w:val="continue"/>
                  <w:noWrap w:val="0"/>
                  <w:vAlign w:val="center"/>
                </w:tcPr>
                <w:p w14:paraId="103A3146">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rPr>
                  </w:pPr>
                </w:p>
              </w:tc>
              <w:tc>
                <w:tcPr>
                  <w:tcW w:w="1709" w:type="dxa"/>
                  <w:noWrap w:val="0"/>
                  <w:vAlign w:val="center"/>
                </w:tcPr>
                <w:p w14:paraId="5156371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润版液</w:t>
                  </w:r>
                </w:p>
              </w:tc>
              <w:tc>
                <w:tcPr>
                  <w:tcW w:w="2035" w:type="dxa"/>
                  <w:noWrap w:val="0"/>
                  <w:vAlign w:val="center"/>
                </w:tcPr>
                <w:p w14:paraId="1F8146B9">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0.04</w:t>
                  </w:r>
                </w:p>
              </w:tc>
              <w:tc>
                <w:tcPr>
                  <w:tcW w:w="1572" w:type="dxa"/>
                  <w:noWrap w:val="0"/>
                  <w:vAlign w:val="center"/>
                </w:tcPr>
                <w:p w14:paraId="27FF49A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50</w:t>
                  </w:r>
                </w:p>
              </w:tc>
              <w:tc>
                <w:tcPr>
                  <w:tcW w:w="1186" w:type="dxa"/>
                  <w:noWrap w:val="0"/>
                  <w:vAlign w:val="center"/>
                </w:tcPr>
                <w:p w14:paraId="26D35E4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0.0008</w:t>
                  </w:r>
                </w:p>
              </w:tc>
            </w:tr>
            <w:tr w14:paraId="709AA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5" w:type="dxa"/>
                  <w:vMerge w:val="continue"/>
                  <w:noWrap w:val="0"/>
                  <w:vAlign w:val="center"/>
                </w:tcPr>
                <w:p w14:paraId="0A82CBE6">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rPr>
                  </w:pPr>
                </w:p>
              </w:tc>
              <w:tc>
                <w:tcPr>
                  <w:tcW w:w="1709" w:type="dxa"/>
                  <w:noWrap w:val="0"/>
                  <w:vAlign w:val="center"/>
                </w:tcPr>
                <w:p w14:paraId="0FAD5CF5">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废活性炭</w:t>
                  </w:r>
                </w:p>
              </w:tc>
              <w:tc>
                <w:tcPr>
                  <w:tcW w:w="2035" w:type="dxa"/>
                  <w:noWrap w:val="0"/>
                  <w:vAlign w:val="center"/>
                </w:tcPr>
                <w:p w14:paraId="60693479">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4.594</w:t>
                  </w:r>
                </w:p>
              </w:tc>
              <w:tc>
                <w:tcPr>
                  <w:tcW w:w="1572" w:type="dxa"/>
                  <w:noWrap w:val="0"/>
                  <w:vAlign w:val="center"/>
                </w:tcPr>
                <w:p w14:paraId="6AA64AA4">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50</w:t>
                  </w:r>
                </w:p>
              </w:tc>
              <w:tc>
                <w:tcPr>
                  <w:tcW w:w="1186" w:type="dxa"/>
                  <w:noWrap w:val="0"/>
                  <w:vAlign w:val="center"/>
                </w:tcPr>
                <w:p w14:paraId="0F03294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0.091</w:t>
                  </w:r>
                  <w:r>
                    <w:rPr>
                      <w:rFonts w:hint="eastAsia" w:cs="Times New Roman"/>
                      <w:i w:val="0"/>
                      <w:iCs w:val="0"/>
                      <w:color w:val="auto"/>
                      <w:kern w:val="0"/>
                      <w:sz w:val="21"/>
                      <w:szCs w:val="21"/>
                      <w:u w:val="none"/>
                      <w:lang w:val="en-US" w:eastAsia="zh-CN" w:bidi="ar"/>
                    </w:rPr>
                    <w:t>9</w:t>
                  </w:r>
                </w:p>
              </w:tc>
            </w:tr>
            <w:tr w14:paraId="2AC73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5" w:type="dxa"/>
                  <w:vMerge w:val="continue"/>
                  <w:noWrap w:val="0"/>
                  <w:vAlign w:val="center"/>
                </w:tcPr>
                <w:p w14:paraId="7C46250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rPr>
                  </w:pPr>
                </w:p>
              </w:tc>
              <w:tc>
                <w:tcPr>
                  <w:tcW w:w="1709" w:type="dxa"/>
                  <w:noWrap w:val="0"/>
                  <w:vAlign w:val="center"/>
                </w:tcPr>
                <w:p w14:paraId="0A3A21C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废天那水桶</w:t>
                  </w:r>
                </w:p>
              </w:tc>
              <w:tc>
                <w:tcPr>
                  <w:tcW w:w="2035" w:type="dxa"/>
                  <w:noWrap w:val="0"/>
                  <w:vAlign w:val="center"/>
                </w:tcPr>
                <w:p w14:paraId="34E36BEF">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0.01</w:t>
                  </w:r>
                </w:p>
              </w:tc>
              <w:tc>
                <w:tcPr>
                  <w:tcW w:w="1572" w:type="dxa"/>
                  <w:noWrap w:val="0"/>
                  <w:vAlign w:val="center"/>
                </w:tcPr>
                <w:p w14:paraId="69288BD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50</w:t>
                  </w:r>
                </w:p>
              </w:tc>
              <w:tc>
                <w:tcPr>
                  <w:tcW w:w="1186" w:type="dxa"/>
                  <w:noWrap w:val="0"/>
                  <w:vAlign w:val="center"/>
                </w:tcPr>
                <w:p w14:paraId="067FC135">
                  <w:pPr>
                    <w:keepNext w:val="0"/>
                    <w:keepLines w:val="0"/>
                    <w:widowControl/>
                    <w:suppressLineNumbers w:val="0"/>
                    <w:jc w:val="center"/>
                    <w:textAlignment w:val="center"/>
                    <w:rPr>
                      <w:rFonts w:hint="eastAsia"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0.00</w:t>
                  </w:r>
                  <w:r>
                    <w:rPr>
                      <w:rFonts w:hint="eastAsia" w:cs="Times New Roman"/>
                      <w:i w:val="0"/>
                      <w:iCs w:val="0"/>
                      <w:color w:val="auto"/>
                      <w:kern w:val="0"/>
                      <w:sz w:val="21"/>
                      <w:szCs w:val="21"/>
                      <w:u w:val="none"/>
                      <w:lang w:val="en-US" w:eastAsia="zh-CN" w:bidi="ar"/>
                    </w:rPr>
                    <w:t>0</w:t>
                  </w:r>
                  <w:r>
                    <w:rPr>
                      <w:rFonts w:hint="default" w:ascii="Times New Roman" w:hAnsi="Times New Roman" w:eastAsia="宋体" w:cs="Times New Roman"/>
                      <w:i w:val="0"/>
                      <w:iCs w:val="0"/>
                      <w:color w:val="auto"/>
                      <w:kern w:val="0"/>
                      <w:sz w:val="21"/>
                      <w:szCs w:val="21"/>
                      <w:u w:val="none"/>
                      <w:lang w:val="en-US" w:eastAsia="zh-CN" w:bidi="ar"/>
                    </w:rPr>
                    <w:t>2</w:t>
                  </w:r>
                </w:p>
              </w:tc>
            </w:tr>
            <w:tr w14:paraId="35E2B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5" w:type="dxa"/>
                  <w:vMerge w:val="continue"/>
                  <w:noWrap w:val="0"/>
                  <w:vAlign w:val="center"/>
                </w:tcPr>
                <w:p w14:paraId="1ED0A10C">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rPr>
                  </w:pPr>
                </w:p>
              </w:tc>
              <w:tc>
                <w:tcPr>
                  <w:tcW w:w="1709" w:type="dxa"/>
                  <w:noWrap w:val="0"/>
                  <w:vAlign w:val="center"/>
                </w:tcPr>
                <w:p w14:paraId="2C8C2DB6">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大豆油墨废瓶</w:t>
                  </w:r>
                </w:p>
              </w:tc>
              <w:tc>
                <w:tcPr>
                  <w:tcW w:w="2035" w:type="dxa"/>
                  <w:noWrap w:val="0"/>
                  <w:vAlign w:val="center"/>
                </w:tcPr>
                <w:p w14:paraId="06DD92E8">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0.15</w:t>
                  </w:r>
                </w:p>
              </w:tc>
              <w:tc>
                <w:tcPr>
                  <w:tcW w:w="1572" w:type="dxa"/>
                  <w:noWrap w:val="0"/>
                  <w:vAlign w:val="center"/>
                </w:tcPr>
                <w:p w14:paraId="45154D56">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50</w:t>
                  </w:r>
                </w:p>
              </w:tc>
              <w:tc>
                <w:tcPr>
                  <w:tcW w:w="1186" w:type="dxa"/>
                  <w:noWrap w:val="0"/>
                  <w:vAlign w:val="center"/>
                </w:tcPr>
                <w:p w14:paraId="1B4FA5A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0.003</w:t>
                  </w:r>
                </w:p>
              </w:tc>
            </w:tr>
            <w:tr w14:paraId="1DBFB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5" w:type="dxa"/>
                  <w:vMerge w:val="continue"/>
                  <w:noWrap w:val="0"/>
                  <w:vAlign w:val="center"/>
                </w:tcPr>
                <w:p w14:paraId="06C451E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rPr>
                  </w:pPr>
                </w:p>
              </w:tc>
              <w:tc>
                <w:tcPr>
                  <w:tcW w:w="1709" w:type="dxa"/>
                  <w:noWrap w:val="0"/>
                  <w:vAlign w:val="center"/>
                </w:tcPr>
                <w:p w14:paraId="61D0F1F7">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水性光油废桶</w:t>
                  </w:r>
                </w:p>
              </w:tc>
              <w:tc>
                <w:tcPr>
                  <w:tcW w:w="2035" w:type="dxa"/>
                  <w:noWrap w:val="0"/>
                  <w:vAlign w:val="center"/>
                </w:tcPr>
                <w:p w14:paraId="03E3A2A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0.016</w:t>
                  </w:r>
                </w:p>
              </w:tc>
              <w:tc>
                <w:tcPr>
                  <w:tcW w:w="1572" w:type="dxa"/>
                  <w:noWrap w:val="0"/>
                  <w:vAlign w:val="center"/>
                </w:tcPr>
                <w:p w14:paraId="02459F79">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50</w:t>
                  </w:r>
                </w:p>
              </w:tc>
              <w:tc>
                <w:tcPr>
                  <w:tcW w:w="1186" w:type="dxa"/>
                  <w:noWrap w:val="0"/>
                  <w:vAlign w:val="center"/>
                </w:tcPr>
                <w:p w14:paraId="5D182D3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0.000</w:t>
                  </w:r>
                  <w:r>
                    <w:rPr>
                      <w:rFonts w:hint="eastAsia" w:cs="Times New Roman"/>
                      <w:i w:val="0"/>
                      <w:iCs w:val="0"/>
                      <w:color w:val="auto"/>
                      <w:kern w:val="0"/>
                      <w:sz w:val="21"/>
                      <w:szCs w:val="21"/>
                      <w:u w:val="none"/>
                      <w:lang w:val="en-US" w:eastAsia="zh-CN" w:bidi="ar"/>
                    </w:rPr>
                    <w:t>32</w:t>
                  </w:r>
                </w:p>
              </w:tc>
            </w:tr>
            <w:tr w14:paraId="79549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5" w:type="dxa"/>
                  <w:vMerge w:val="continue"/>
                  <w:noWrap w:val="0"/>
                  <w:vAlign w:val="center"/>
                </w:tcPr>
                <w:p w14:paraId="50E8E87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rPr>
                  </w:pPr>
                </w:p>
              </w:tc>
              <w:tc>
                <w:tcPr>
                  <w:tcW w:w="1709" w:type="dxa"/>
                  <w:noWrap w:val="0"/>
                  <w:vAlign w:val="center"/>
                </w:tcPr>
                <w:p w14:paraId="54D37B0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清洗剂废桶</w:t>
                  </w:r>
                </w:p>
              </w:tc>
              <w:tc>
                <w:tcPr>
                  <w:tcW w:w="2035" w:type="dxa"/>
                  <w:noWrap w:val="0"/>
                  <w:vAlign w:val="center"/>
                </w:tcPr>
                <w:p w14:paraId="63291987">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0.005</w:t>
                  </w:r>
                </w:p>
              </w:tc>
              <w:tc>
                <w:tcPr>
                  <w:tcW w:w="1572" w:type="dxa"/>
                  <w:noWrap w:val="0"/>
                  <w:vAlign w:val="center"/>
                </w:tcPr>
                <w:p w14:paraId="3435D298">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50</w:t>
                  </w:r>
                </w:p>
              </w:tc>
              <w:tc>
                <w:tcPr>
                  <w:tcW w:w="1186" w:type="dxa"/>
                  <w:noWrap w:val="0"/>
                  <w:vAlign w:val="center"/>
                </w:tcPr>
                <w:p w14:paraId="0FF26B1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0.0001</w:t>
                  </w:r>
                </w:p>
              </w:tc>
            </w:tr>
            <w:tr w14:paraId="219CC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5" w:type="dxa"/>
                  <w:vMerge w:val="continue"/>
                  <w:noWrap w:val="0"/>
                  <w:vAlign w:val="center"/>
                </w:tcPr>
                <w:p w14:paraId="0E6C737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rPr>
                  </w:pPr>
                </w:p>
              </w:tc>
              <w:tc>
                <w:tcPr>
                  <w:tcW w:w="1709" w:type="dxa"/>
                  <w:noWrap w:val="0"/>
                  <w:vAlign w:val="center"/>
                </w:tcPr>
                <w:p w14:paraId="13A432F4">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润版液废桶</w:t>
                  </w:r>
                </w:p>
              </w:tc>
              <w:tc>
                <w:tcPr>
                  <w:tcW w:w="2035" w:type="dxa"/>
                  <w:noWrap w:val="0"/>
                  <w:vAlign w:val="center"/>
                </w:tcPr>
                <w:p w14:paraId="386DCA6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0.005</w:t>
                  </w:r>
                </w:p>
              </w:tc>
              <w:tc>
                <w:tcPr>
                  <w:tcW w:w="1572" w:type="dxa"/>
                  <w:noWrap w:val="0"/>
                  <w:vAlign w:val="center"/>
                </w:tcPr>
                <w:p w14:paraId="2CC9196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50</w:t>
                  </w:r>
                </w:p>
              </w:tc>
              <w:tc>
                <w:tcPr>
                  <w:tcW w:w="1186" w:type="dxa"/>
                  <w:noWrap w:val="0"/>
                  <w:vAlign w:val="center"/>
                </w:tcPr>
                <w:p w14:paraId="6844723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0.0001</w:t>
                  </w:r>
                </w:p>
              </w:tc>
            </w:tr>
            <w:tr w14:paraId="09F0B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5" w:type="dxa"/>
                  <w:vMerge w:val="continue"/>
                  <w:noWrap w:val="0"/>
                  <w:vAlign w:val="center"/>
                </w:tcPr>
                <w:p w14:paraId="14151B4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rPr>
                  </w:pPr>
                </w:p>
              </w:tc>
              <w:tc>
                <w:tcPr>
                  <w:tcW w:w="1709" w:type="dxa"/>
                  <w:noWrap w:val="0"/>
                  <w:vAlign w:val="center"/>
                </w:tcPr>
                <w:p w14:paraId="1B210A68">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废油墨渣</w:t>
                  </w:r>
                </w:p>
              </w:tc>
              <w:tc>
                <w:tcPr>
                  <w:tcW w:w="2035" w:type="dxa"/>
                  <w:noWrap w:val="0"/>
                  <w:vAlign w:val="center"/>
                </w:tcPr>
                <w:p w14:paraId="6E127A4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0.05</w:t>
                  </w:r>
                </w:p>
              </w:tc>
              <w:tc>
                <w:tcPr>
                  <w:tcW w:w="1572" w:type="dxa"/>
                  <w:noWrap w:val="0"/>
                  <w:vAlign w:val="center"/>
                </w:tcPr>
                <w:p w14:paraId="702B887D">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50</w:t>
                  </w:r>
                </w:p>
              </w:tc>
              <w:tc>
                <w:tcPr>
                  <w:tcW w:w="1186" w:type="dxa"/>
                  <w:noWrap w:val="0"/>
                  <w:vAlign w:val="center"/>
                </w:tcPr>
                <w:p w14:paraId="30042126">
                  <w:pPr>
                    <w:keepNext w:val="0"/>
                    <w:keepLines w:val="0"/>
                    <w:widowControl/>
                    <w:suppressLineNumbers w:val="0"/>
                    <w:jc w:val="center"/>
                    <w:textAlignment w:val="center"/>
                    <w:rPr>
                      <w:rFonts w:hint="eastAsia"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0.001</w:t>
                  </w:r>
                </w:p>
              </w:tc>
            </w:tr>
            <w:tr w14:paraId="45019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1625" w:type="dxa"/>
                  <w:vMerge w:val="restart"/>
                  <w:noWrap w:val="0"/>
                  <w:vAlign w:val="center"/>
                </w:tcPr>
                <w:p w14:paraId="443947BF">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表B.1突发环境事件风险物质381油类物质</w:t>
                  </w:r>
                </w:p>
              </w:tc>
              <w:tc>
                <w:tcPr>
                  <w:tcW w:w="1709" w:type="dxa"/>
                  <w:noWrap w:val="0"/>
                  <w:vAlign w:val="center"/>
                </w:tcPr>
                <w:p w14:paraId="4A034EB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废机油</w:t>
                  </w:r>
                </w:p>
              </w:tc>
              <w:tc>
                <w:tcPr>
                  <w:tcW w:w="2035" w:type="dxa"/>
                  <w:noWrap w:val="0"/>
                  <w:vAlign w:val="center"/>
                </w:tcPr>
                <w:p w14:paraId="0955D1C5">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w:t>
                  </w:r>
                  <w:r>
                    <w:rPr>
                      <w:rFonts w:hint="eastAsia" w:ascii="Times New Roman" w:hAnsi="Times New Roman" w:cs="Times New Roman"/>
                      <w:color w:val="auto"/>
                      <w:sz w:val="21"/>
                      <w:szCs w:val="21"/>
                      <w:highlight w:val="none"/>
                      <w:vertAlign w:val="baseline"/>
                      <w:lang w:val="en-US" w:eastAsia="zh-CN"/>
                    </w:rPr>
                    <w:t>2</w:t>
                  </w:r>
                </w:p>
              </w:tc>
              <w:tc>
                <w:tcPr>
                  <w:tcW w:w="1572" w:type="dxa"/>
                  <w:noWrap w:val="0"/>
                  <w:vAlign w:val="center"/>
                </w:tcPr>
                <w:p w14:paraId="56713456">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2500</w:t>
                  </w:r>
                </w:p>
              </w:tc>
              <w:tc>
                <w:tcPr>
                  <w:tcW w:w="1186" w:type="dxa"/>
                  <w:noWrap w:val="0"/>
                  <w:vAlign w:val="center"/>
                </w:tcPr>
                <w:p w14:paraId="0806B67D">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0.000008</w:t>
                  </w:r>
                </w:p>
              </w:tc>
            </w:tr>
            <w:tr w14:paraId="4D065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5" w:type="dxa"/>
                  <w:vMerge w:val="continue"/>
                  <w:noWrap w:val="0"/>
                  <w:vAlign w:val="center"/>
                </w:tcPr>
                <w:p w14:paraId="51EB4C9C">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rPr>
                  </w:pPr>
                </w:p>
              </w:tc>
              <w:tc>
                <w:tcPr>
                  <w:tcW w:w="1709" w:type="dxa"/>
                  <w:noWrap w:val="0"/>
                  <w:vAlign w:val="center"/>
                </w:tcPr>
                <w:p w14:paraId="0FDFD98F">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机油</w:t>
                  </w:r>
                </w:p>
              </w:tc>
              <w:tc>
                <w:tcPr>
                  <w:tcW w:w="2035" w:type="dxa"/>
                  <w:noWrap w:val="0"/>
                  <w:vAlign w:val="center"/>
                </w:tcPr>
                <w:p w14:paraId="71E0FF17">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0.05</w:t>
                  </w:r>
                </w:p>
              </w:tc>
              <w:tc>
                <w:tcPr>
                  <w:tcW w:w="1572" w:type="dxa"/>
                  <w:noWrap w:val="0"/>
                  <w:vAlign w:val="center"/>
                </w:tcPr>
                <w:p w14:paraId="19EA6186">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2500</w:t>
                  </w:r>
                </w:p>
              </w:tc>
              <w:tc>
                <w:tcPr>
                  <w:tcW w:w="1186" w:type="dxa"/>
                  <w:noWrap w:val="0"/>
                  <w:vAlign w:val="center"/>
                </w:tcPr>
                <w:p w14:paraId="4DF7088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0.00002</w:t>
                  </w:r>
                </w:p>
              </w:tc>
            </w:tr>
            <w:tr w14:paraId="4B84F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1" w:type="dxa"/>
                  <w:gridSpan w:val="4"/>
                  <w:noWrap w:val="0"/>
                  <w:vAlign w:val="center"/>
                </w:tcPr>
                <w:p w14:paraId="57FAC0EF">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合计（总Q值）</w:t>
                  </w:r>
                </w:p>
              </w:tc>
              <w:tc>
                <w:tcPr>
                  <w:tcW w:w="1186" w:type="dxa"/>
                  <w:noWrap w:val="0"/>
                  <w:vAlign w:val="center"/>
                </w:tcPr>
                <w:p w14:paraId="2DBD357D">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0.1</w:t>
                  </w:r>
                  <w:r>
                    <w:rPr>
                      <w:rFonts w:hint="eastAsia" w:cs="Times New Roman"/>
                      <w:i w:val="0"/>
                      <w:iCs w:val="0"/>
                      <w:color w:val="auto"/>
                      <w:kern w:val="0"/>
                      <w:sz w:val="21"/>
                      <w:szCs w:val="21"/>
                      <w:u w:val="none"/>
                      <w:lang w:val="en-US" w:eastAsia="zh-CN" w:bidi="ar"/>
                    </w:rPr>
                    <w:t>117</w:t>
                  </w:r>
                </w:p>
              </w:tc>
            </w:tr>
          </w:tbl>
          <w:p w14:paraId="500BB9AF">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2"/>
                <w:highlight w:val="none"/>
                <w:lang w:val="en-US" w:eastAsia="zh-CN"/>
              </w:rPr>
            </w:pPr>
            <w:r>
              <w:rPr>
                <w:rFonts w:hint="eastAsia" w:ascii="Times New Roman" w:hAnsi="Times New Roman" w:eastAsia="宋体" w:cs="Times New Roman"/>
                <w:color w:val="auto"/>
                <w:sz w:val="24"/>
                <w:szCs w:val="22"/>
                <w:highlight w:val="none"/>
                <w:lang w:val="en-US" w:eastAsia="zh-CN"/>
              </w:rPr>
              <w:t>因此，本项目Q＜1</w:t>
            </w:r>
          </w:p>
          <w:p w14:paraId="54498695">
            <w:pPr>
              <w:pStyle w:val="19"/>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szCs w:val="22"/>
                <w:highlight w:val="none"/>
                <w:lang w:val="en-US" w:eastAsia="zh-CN"/>
              </w:rPr>
            </w:pPr>
            <w:r>
              <w:rPr>
                <w:rFonts w:hint="eastAsia" w:ascii="Times New Roman" w:hAnsi="Times New Roman" w:eastAsia="宋体" w:cs="Times New Roman"/>
                <w:b/>
                <w:bCs/>
                <w:color w:val="auto"/>
                <w:sz w:val="24"/>
                <w:szCs w:val="22"/>
                <w:highlight w:val="none"/>
                <w:lang w:val="en-US" w:eastAsia="zh-CN"/>
              </w:rPr>
              <w:t>2、风险源分布及影响途径</w:t>
            </w:r>
          </w:p>
          <w:p w14:paraId="15AEB807">
            <w:pPr>
              <w:pStyle w:val="19"/>
              <w:keepNext w:val="0"/>
              <w:keepLines w:val="0"/>
              <w:suppressLineNumbers w:val="0"/>
              <w:spacing w:before="0" w:beforeAutospacing="0" w:after="0" w:afterAutospacing="0" w:line="240" w:lineRule="auto"/>
              <w:ind w:left="0" w:right="0" w:firstLine="480" w:firstLineChars="200"/>
              <w:rPr>
                <w:rFonts w:hint="default" w:ascii="Times New Roman" w:hAnsi="Times New Roman" w:eastAsia="宋体" w:cs="Times New Roman"/>
                <w:color w:val="auto"/>
                <w:sz w:val="24"/>
                <w:szCs w:val="22"/>
                <w:highlight w:val="none"/>
              </w:rPr>
            </w:pPr>
            <w:r>
              <w:rPr>
                <w:rFonts w:hint="eastAsia" w:ascii="Times New Roman" w:hAnsi="Times New Roman" w:eastAsia="宋体" w:cs="Times New Roman"/>
                <w:color w:val="auto"/>
                <w:sz w:val="24"/>
                <w:szCs w:val="22"/>
                <w:highlight w:val="none"/>
                <w:lang w:val="en-US" w:eastAsia="zh-CN"/>
              </w:rPr>
              <w:t>本项目的风险单元主要为原料仓库、危废间、废气治理设施</w:t>
            </w:r>
            <w:r>
              <w:rPr>
                <w:rFonts w:hint="default" w:ascii="Times New Roman" w:hAnsi="Times New Roman" w:eastAsia="宋体" w:cs="Times New Roman"/>
                <w:color w:val="auto"/>
                <w:sz w:val="24"/>
                <w:szCs w:val="22"/>
                <w:highlight w:val="none"/>
              </w:rPr>
              <w:t>：</w:t>
            </w:r>
          </w:p>
          <w:p w14:paraId="5C19D6CB">
            <w:pPr>
              <w:pStyle w:val="19"/>
              <w:keepNext w:val="0"/>
              <w:keepLines w:val="0"/>
              <w:suppressLineNumbers w:val="0"/>
              <w:spacing w:before="0" w:beforeAutospacing="0" w:after="0" w:afterAutospacing="0" w:line="240" w:lineRule="auto"/>
              <w:ind w:left="0" w:right="0" w:firstLine="422" w:firstLineChars="200"/>
              <w:jc w:val="center"/>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rPr>
              <w:t>表</w:t>
            </w:r>
            <w:r>
              <w:rPr>
                <w:rFonts w:hint="eastAsia" w:ascii="Times New Roman" w:hAnsi="Times New Roman" w:cs="Times New Roman"/>
                <w:b/>
                <w:bCs/>
                <w:color w:val="auto"/>
                <w:highlight w:val="none"/>
                <w:lang w:val="en-US" w:eastAsia="zh-CN"/>
              </w:rPr>
              <w:t>4-24</w:t>
            </w:r>
            <w:r>
              <w:rPr>
                <w:rFonts w:hint="default" w:ascii="Times New Roman" w:hAnsi="Times New Roman" w:eastAsia="宋体" w:cs="Times New Roman"/>
                <w:b/>
                <w:bCs/>
                <w:color w:val="auto"/>
                <w:highlight w:val="none"/>
              </w:rPr>
              <w:t xml:space="preserve"> </w:t>
            </w:r>
            <w:r>
              <w:rPr>
                <w:rFonts w:hint="eastAsia" w:ascii="Times New Roman" w:hAnsi="Times New Roman" w:eastAsia="宋体" w:cs="Times New Roman"/>
                <w:b/>
                <w:bCs/>
                <w:color w:val="auto"/>
                <w:highlight w:val="none"/>
                <w:lang w:val="en-US" w:eastAsia="zh-CN"/>
              </w:rPr>
              <w:t>可能影响途径一览表</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5"/>
              <w:gridCol w:w="2899"/>
              <w:gridCol w:w="1825"/>
              <w:gridCol w:w="1668"/>
            </w:tblGrid>
            <w:tr w14:paraId="48173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1725" w:type="dxa"/>
                  <w:tcBorders>
                    <w:top w:val="single" w:color="auto" w:sz="4" w:space="0"/>
                    <w:left w:val="single" w:color="auto" w:sz="4" w:space="0"/>
                    <w:bottom w:val="single" w:color="auto" w:sz="4" w:space="0"/>
                    <w:right w:val="single" w:color="auto" w:sz="4" w:space="0"/>
                  </w:tcBorders>
                  <w:noWrap w:val="0"/>
                  <w:vAlign w:val="center"/>
                </w:tcPr>
                <w:p w14:paraId="7E0237C6">
                  <w:pPr>
                    <w:keepNext w:val="0"/>
                    <w:keepLines w:val="0"/>
                    <w:widowControl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b/>
                      <w:bCs w:val="0"/>
                      <w:color w:val="auto"/>
                      <w:kern w:val="0"/>
                      <w:sz w:val="21"/>
                      <w:szCs w:val="21"/>
                      <w:highlight w:val="none"/>
                    </w:rPr>
                  </w:pPr>
                  <w:r>
                    <w:rPr>
                      <w:rFonts w:hint="default" w:ascii="Times New Roman" w:hAnsi="Times New Roman" w:eastAsia="宋体" w:cs="Times New Roman"/>
                      <w:b/>
                      <w:bCs w:val="0"/>
                      <w:color w:val="auto"/>
                      <w:kern w:val="0"/>
                      <w:sz w:val="21"/>
                      <w:szCs w:val="21"/>
                      <w:highlight w:val="none"/>
                      <w:lang w:val="en-US" w:eastAsia="zh-CN" w:bidi="ar"/>
                    </w:rPr>
                    <w:t>危险</w:t>
                  </w:r>
                  <w:r>
                    <w:rPr>
                      <w:rFonts w:hint="eastAsia" w:ascii="Times New Roman" w:hAnsi="Times New Roman" w:eastAsia="宋体" w:cs="Times New Roman"/>
                      <w:b/>
                      <w:bCs w:val="0"/>
                      <w:color w:val="auto"/>
                      <w:kern w:val="0"/>
                      <w:sz w:val="21"/>
                      <w:szCs w:val="21"/>
                      <w:highlight w:val="none"/>
                      <w:lang w:val="en-US" w:eastAsia="zh-CN" w:bidi="ar"/>
                    </w:rPr>
                    <w:t>源</w:t>
                  </w:r>
                </w:p>
              </w:tc>
              <w:tc>
                <w:tcPr>
                  <w:tcW w:w="2899" w:type="dxa"/>
                  <w:tcBorders>
                    <w:top w:val="single" w:color="auto" w:sz="4" w:space="0"/>
                    <w:left w:val="nil"/>
                    <w:bottom w:val="single" w:color="auto" w:sz="4" w:space="0"/>
                    <w:right w:val="single" w:color="auto" w:sz="4" w:space="0"/>
                  </w:tcBorders>
                  <w:noWrap w:val="0"/>
                  <w:vAlign w:val="center"/>
                </w:tcPr>
                <w:p w14:paraId="538D75E1">
                  <w:pPr>
                    <w:keepNext w:val="0"/>
                    <w:keepLines w:val="0"/>
                    <w:widowControl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b/>
                      <w:bCs w:val="0"/>
                      <w:color w:val="auto"/>
                      <w:kern w:val="0"/>
                      <w:sz w:val="21"/>
                      <w:szCs w:val="21"/>
                      <w:highlight w:val="none"/>
                    </w:rPr>
                  </w:pPr>
                  <w:r>
                    <w:rPr>
                      <w:rFonts w:hint="eastAsia" w:ascii="Times New Roman" w:hAnsi="Times New Roman" w:eastAsia="宋体" w:cs="Times New Roman"/>
                      <w:b/>
                      <w:bCs w:val="0"/>
                      <w:color w:val="auto"/>
                      <w:kern w:val="0"/>
                      <w:sz w:val="21"/>
                      <w:szCs w:val="21"/>
                      <w:highlight w:val="none"/>
                      <w:lang w:val="en-US" w:eastAsia="zh-CN" w:bidi="ar"/>
                    </w:rPr>
                    <w:t>危险物质</w:t>
                  </w:r>
                </w:p>
              </w:tc>
              <w:tc>
                <w:tcPr>
                  <w:tcW w:w="1825" w:type="dxa"/>
                  <w:tcBorders>
                    <w:top w:val="single" w:color="auto" w:sz="4" w:space="0"/>
                    <w:left w:val="nil"/>
                    <w:bottom w:val="single" w:color="auto" w:sz="4" w:space="0"/>
                    <w:right w:val="single" w:color="auto" w:sz="4" w:space="0"/>
                  </w:tcBorders>
                  <w:noWrap w:val="0"/>
                  <w:vAlign w:val="center"/>
                </w:tcPr>
                <w:p w14:paraId="0D9EA9CA">
                  <w:pPr>
                    <w:keepNext w:val="0"/>
                    <w:keepLines w:val="0"/>
                    <w:widowControl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b/>
                      <w:bCs w:val="0"/>
                      <w:color w:val="auto"/>
                      <w:kern w:val="0"/>
                      <w:sz w:val="21"/>
                      <w:szCs w:val="21"/>
                      <w:highlight w:val="none"/>
                    </w:rPr>
                  </w:pPr>
                  <w:r>
                    <w:rPr>
                      <w:rFonts w:hint="eastAsia" w:ascii="Times New Roman" w:hAnsi="Times New Roman" w:eastAsia="宋体" w:cs="Times New Roman"/>
                      <w:b/>
                      <w:bCs w:val="0"/>
                      <w:color w:val="auto"/>
                      <w:kern w:val="0"/>
                      <w:sz w:val="21"/>
                      <w:szCs w:val="21"/>
                      <w:highlight w:val="none"/>
                      <w:lang w:val="en-US" w:eastAsia="zh-CN" w:bidi="ar"/>
                    </w:rPr>
                    <w:t>风险类型</w:t>
                  </w:r>
                </w:p>
              </w:tc>
              <w:tc>
                <w:tcPr>
                  <w:tcW w:w="1668" w:type="dxa"/>
                  <w:tcBorders>
                    <w:top w:val="single" w:color="auto" w:sz="4" w:space="0"/>
                    <w:left w:val="nil"/>
                    <w:bottom w:val="single" w:color="auto" w:sz="4" w:space="0"/>
                    <w:right w:val="single" w:color="auto" w:sz="4" w:space="0"/>
                  </w:tcBorders>
                  <w:noWrap w:val="0"/>
                  <w:vAlign w:val="center"/>
                </w:tcPr>
                <w:p w14:paraId="53969130">
                  <w:pPr>
                    <w:keepNext w:val="0"/>
                    <w:keepLines w:val="0"/>
                    <w:widowControl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b/>
                      <w:bCs w:val="0"/>
                      <w:color w:val="auto"/>
                      <w:kern w:val="0"/>
                      <w:sz w:val="21"/>
                      <w:szCs w:val="21"/>
                      <w:highlight w:val="none"/>
                      <w:lang w:val="en-US" w:eastAsia="zh-CN" w:bidi="ar"/>
                    </w:rPr>
                  </w:pPr>
                  <w:r>
                    <w:rPr>
                      <w:rFonts w:hint="eastAsia" w:ascii="Times New Roman" w:hAnsi="Times New Roman" w:eastAsia="宋体" w:cs="Times New Roman"/>
                      <w:b/>
                      <w:bCs w:val="0"/>
                      <w:color w:val="auto"/>
                      <w:kern w:val="0"/>
                      <w:sz w:val="21"/>
                      <w:szCs w:val="21"/>
                      <w:highlight w:val="none"/>
                      <w:lang w:val="en-US" w:eastAsia="zh-CN" w:bidi="ar"/>
                    </w:rPr>
                    <w:t>可能影响途径</w:t>
                  </w:r>
                </w:p>
              </w:tc>
            </w:tr>
            <w:tr w14:paraId="295CA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725" w:type="dxa"/>
                  <w:tcBorders>
                    <w:top w:val="single" w:color="auto" w:sz="4" w:space="0"/>
                    <w:left w:val="single" w:color="auto" w:sz="4" w:space="0"/>
                    <w:bottom w:val="single" w:color="auto" w:sz="4" w:space="0"/>
                    <w:right w:val="single" w:color="auto" w:sz="4" w:space="0"/>
                  </w:tcBorders>
                  <w:noWrap w:val="0"/>
                  <w:vAlign w:val="center"/>
                </w:tcPr>
                <w:p w14:paraId="459BB01D">
                  <w:pPr>
                    <w:keepNext w:val="0"/>
                    <w:keepLines w:val="0"/>
                    <w:widowControl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废气收集排放系统</w:t>
                  </w:r>
                </w:p>
              </w:tc>
              <w:tc>
                <w:tcPr>
                  <w:tcW w:w="2899" w:type="dxa"/>
                  <w:tcBorders>
                    <w:top w:val="single" w:color="auto" w:sz="4" w:space="0"/>
                    <w:left w:val="nil"/>
                    <w:bottom w:val="single" w:color="auto" w:sz="4" w:space="0"/>
                    <w:right w:val="single" w:color="auto" w:sz="4" w:space="0"/>
                  </w:tcBorders>
                  <w:noWrap w:val="0"/>
                  <w:vAlign w:val="center"/>
                </w:tcPr>
                <w:p w14:paraId="5CE285AC">
                  <w:pPr>
                    <w:keepNext w:val="0"/>
                    <w:keepLines w:val="0"/>
                    <w:widowControl w:val="0"/>
                    <w:suppressLineNumbers w:val="0"/>
                    <w:autoSpaceDE w:val="0"/>
                    <w:autoSpaceDN w:val="0"/>
                    <w:adjustRightInd w:val="0"/>
                    <w:spacing w:before="0" w:beforeAutospacing="0" w:after="0" w:afterAutospacing="0"/>
                    <w:ind w:left="0" w:right="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废活性炭</w:t>
                  </w:r>
                </w:p>
              </w:tc>
              <w:tc>
                <w:tcPr>
                  <w:tcW w:w="1825" w:type="dxa"/>
                  <w:tcBorders>
                    <w:top w:val="single" w:color="auto" w:sz="4" w:space="0"/>
                    <w:left w:val="nil"/>
                    <w:bottom w:val="single" w:color="auto" w:sz="4" w:space="0"/>
                    <w:right w:val="single" w:color="auto" w:sz="4" w:space="0"/>
                  </w:tcBorders>
                  <w:noWrap w:val="0"/>
                  <w:vAlign w:val="center"/>
                </w:tcPr>
                <w:p w14:paraId="6F8ADD67">
                  <w:pPr>
                    <w:keepNext w:val="0"/>
                    <w:keepLines w:val="0"/>
                    <w:widowControl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炭箱自燃等事故排放产生的次生/伴生污染物排放</w:t>
                  </w:r>
                </w:p>
              </w:tc>
              <w:tc>
                <w:tcPr>
                  <w:tcW w:w="1668" w:type="dxa"/>
                  <w:tcBorders>
                    <w:top w:val="single" w:color="auto" w:sz="4" w:space="0"/>
                    <w:left w:val="nil"/>
                    <w:bottom w:val="single" w:color="auto" w:sz="4" w:space="0"/>
                    <w:right w:val="single" w:color="auto" w:sz="4" w:space="0"/>
                  </w:tcBorders>
                  <w:noWrap w:val="0"/>
                  <w:vAlign w:val="center"/>
                </w:tcPr>
                <w:p w14:paraId="047818AD">
                  <w:pPr>
                    <w:keepNext w:val="0"/>
                    <w:keepLines w:val="0"/>
                    <w:widowControl w:val="0"/>
                    <w:suppressLineNumbers w:val="0"/>
                    <w:autoSpaceDE w:val="0"/>
                    <w:autoSpaceDN w:val="0"/>
                    <w:adjustRightInd w:val="0"/>
                    <w:spacing w:before="0" w:beforeAutospacing="0" w:after="0" w:afterAutospacing="0"/>
                    <w:ind w:left="0" w:right="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大气</w:t>
                  </w:r>
                </w:p>
              </w:tc>
            </w:tr>
            <w:tr w14:paraId="2F7D9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1725" w:type="dxa"/>
                  <w:tcBorders>
                    <w:top w:val="single" w:color="auto" w:sz="4" w:space="0"/>
                    <w:left w:val="single" w:color="auto" w:sz="4" w:space="0"/>
                    <w:bottom w:val="single" w:color="auto" w:sz="4" w:space="0"/>
                    <w:right w:val="single" w:color="auto" w:sz="4" w:space="0"/>
                  </w:tcBorders>
                  <w:noWrap w:val="0"/>
                  <w:vAlign w:val="center"/>
                </w:tcPr>
                <w:p w14:paraId="5861D5E0">
                  <w:pPr>
                    <w:keepNext w:val="0"/>
                    <w:keepLines w:val="0"/>
                    <w:widowControl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原料仓</w:t>
                  </w:r>
                </w:p>
              </w:tc>
              <w:tc>
                <w:tcPr>
                  <w:tcW w:w="2899" w:type="dxa"/>
                  <w:tcBorders>
                    <w:top w:val="single" w:color="auto" w:sz="4" w:space="0"/>
                    <w:left w:val="nil"/>
                    <w:bottom w:val="single" w:color="auto" w:sz="4" w:space="0"/>
                    <w:right w:val="single" w:color="auto" w:sz="4" w:space="0"/>
                  </w:tcBorders>
                  <w:noWrap w:val="0"/>
                  <w:vAlign w:val="center"/>
                </w:tcPr>
                <w:p w14:paraId="01B5CED9">
                  <w:pPr>
                    <w:keepNext w:val="0"/>
                    <w:keepLines w:val="0"/>
                    <w:widowControl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油墨、光油、清洗剂、润版剂</w:t>
                  </w:r>
                </w:p>
              </w:tc>
              <w:tc>
                <w:tcPr>
                  <w:tcW w:w="1825" w:type="dxa"/>
                  <w:tcBorders>
                    <w:top w:val="single" w:color="auto" w:sz="4" w:space="0"/>
                    <w:left w:val="nil"/>
                    <w:bottom w:val="single" w:color="auto" w:sz="4" w:space="0"/>
                    <w:right w:val="single" w:color="auto" w:sz="4" w:space="0"/>
                  </w:tcBorders>
                  <w:noWrap w:val="0"/>
                  <w:vAlign w:val="center"/>
                </w:tcPr>
                <w:p w14:paraId="4864912D">
                  <w:pPr>
                    <w:keepNext w:val="0"/>
                    <w:keepLines w:val="0"/>
                    <w:widowControl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泄露、火灾引起的次生/伴生污染物排放</w:t>
                  </w:r>
                </w:p>
              </w:tc>
              <w:tc>
                <w:tcPr>
                  <w:tcW w:w="1668" w:type="dxa"/>
                  <w:tcBorders>
                    <w:top w:val="single" w:color="auto" w:sz="4" w:space="0"/>
                    <w:left w:val="nil"/>
                    <w:bottom w:val="single" w:color="auto" w:sz="4" w:space="0"/>
                    <w:right w:val="single" w:color="auto" w:sz="4" w:space="0"/>
                  </w:tcBorders>
                  <w:noWrap w:val="0"/>
                  <w:vAlign w:val="center"/>
                </w:tcPr>
                <w:p w14:paraId="0AA1B957">
                  <w:pPr>
                    <w:keepNext w:val="0"/>
                    <w:keepLines w:val="0"/>
                    <w:widowControl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地表水、地下水、大气</w:t>
                  </w:r>
                </w:p>
              </w:tc>
            </w:tr>
            <w:tr w14:paraId="1B470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jc w:val="center"/>
              </w:trPr>
              <w:tc>
                <w:tcPr>
                  <w:tcW w:w="1725" w:type="dxa"/>
                  <w:tcBorders>
                    <w:top w:val="single" w:color="auto" w:sz="4" w:space="0"/>
                    <w:left w:val="single" w:color="auto" w:sz="4" w:space="0"/>
                    <w:bottom w:val="single" w:color="auto" w:sz="4" w:space="0"/>
                    <w:right w:val="single" w:color="auto" w:sz="4" w:space="0"/>
                  </w:tcBorders>
                  <w:noWrap w:val="0"/>
                  <w:vAlign w:val="center"/>
                </w:tcPr>
                <w:p w14:paraId="2F6B6D70">
                  <w:pPr>
                    <w:keepNext w:val="0"/>
                    <w:keepLines w:val="0"/>
                    <w:widowControl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危废暂存间</w:t>
                  </w:r>
                </w:p>
              </w:tc>
              <w:tc>
                <w:tcPr>
                  <w:tcW w:w="2899" w:type="dxa"/>
                  <w:tcBorders>
                    <w:top w:val="single" w:color="auto" w:sz="4" w:space="0"/>
                    <w:left w:val="nil"/>
                    <w:bottom w:val="single" w:color="auto" w:sz="4" w:space="0"/>
                    <w:right w:val="single" w:color="auto" w:sz="4" w:space="0"/>
                  </w:tcBorders>
                  <w:noWrap w:val="0"/>
                  <w:vAlign w:val="center"/>
                </w:tcPr>
                <w:p w14:paraId="3ACBA20A">
                  <w:pPr>
                    <w:keepNext w:val="0"/>
                    <w:keepLines w:val="0"/>
                    <w:widowControl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废活性炭、废机油、油墨等废弃包装物</w:t>
                  </w:r>
                </w:p>
              </w:tc>
              <w:tc>
                <w:tcPr>
                  <w:tcW w:w="1825" w:type="dxa"/>
                  <w:tcBorders>
                    <w:top w:val="single" w:color="auto" w:sz="4" w:space="0"/>
                    <w:left w:val="nil"/>
                    <w:bottom w:val="single" w:color="auto" w:sz="4" w:space="0"/>
                    <w:right w:val="single" w:color="auto" w:sz="4" w:space="0"/>
                  </w:tcBorders>
                  <w:noWrap w:val="0"/>
                  <w:vAlign w:val="center"/>
                </w:tcPr>
                <w:p w14:paraId="3FE6A865">
                  <w:pPr>
                    <w:keepNext w:val="0"/>
                    <w:keepLines w:val="0"/>
                    <w:widowControl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泄露、火灾引起的次生/伴生污染物排放</w:t>
                  </w:r>
                </w:p>
              </w:tc>
              <w:tc>
                <w:tcPr>
                  <w:tcW w:w="1668" w:type="dxa"/>
                  <w:tcBorders>
                    <w:top w:val="single" w:color="auto" w:sz="4" w:space="0"/>
                    <w:left w:val="nil"/>
                    <w:bottom w:val="single" w:color="auto" w:sz="4" w:space="0"/>
                    <w:right w:val="single" w:color="auto" w:sz="4" w:space="0"/>
                  </w:tcBorders>
                  <w:noWrap w:val="0"/>
                  <w:vAlign w:val="center"/>
                </w:tcPr>
                <w:p w14:paraId="68A139BE">
                  <w:pPr>
                    <w:keepNext w:val="0"/>
                    <w:keepLines w:val="0"/>
                    <w:widowControl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地表水、地下水、大气</w:t>
                  </w:r>
                </w:p>
              </w:tc>
            </w:tr>
          </w:tbl>
          <w:p w14:paraId="72B13267">
            <w:pPr>
              <w:pStyle w:val="19"/>
              <w:keepNext w:val="0"/>
              <w:keepLines w:val="0"/>
              <w:suppressLineNumbers w:val="0"/>
              <w:spacing w:before="0" w:beforeAutospacing="0" w:after="0" w:afterAutospacing="0" w:line="240" w:lineRule="auto"/>
              <w:ind w:left="0" w:right="0" w:firstLine="422" w:firstLineChars="200"/>
              <w:jc w:val="center"/>
              <w:rPr>
                <w:rFonts w:hint="default" w:ascii="Times New Roman" w:hAnsi="Times New Roman" w:eastAsia="宋体" w:cs="Times New Roman"/>
                <w:b/>
                <w:bCs/>
                <w:color w:val="auto"/>
                <w:highlight w:val="none"/>
              </w:rPr>
            </w:pPr>
          </w:p>
          <w:p w14:paraId="25D89501">
            <w:pPr>
              <w:pStyle w:val="19"/>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szCs w:val="22"/>
                <w:highlight w:val="none"/>
                <w:lang w:val="en-US" w:eastAsia="zh-CN"/>
              </w:rPr>
            </w:pPr>
            <w:r>
              <w:rPr>
                <w:rFonts w:hint="eastAsia" w:ascii="Times New Roman" w:hAnsi="Times New Roman" w:eastAsia="宋体" w:cs="Times New Roman"/>
                <w:b/>
                <w:bCs/>
                <w:color w:val="auto"/>
                <w:sz w:val="24"/>
                <w:szCs w:val="22"/>
                <w:highlight w:val="none"/>
                <w:lang w:val="en-US" w:eastAsia="zh-CN"/>
              </w:rPr>
              <w:t>3、风险防范措施</w:t>
            </w:r>
          </w:p>
          <w:p w14:paraId="3AFDE0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 xml:space="preserve">（1）项目废气处理设施风险防范措施 </w:t>
            </w:r>
          </w:p>
          <w:p w14:paraId="78367E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 xml:space="preserve">①项目废气处理设施采用正规设计厂家生产的设备，且安装时按正规要求安装； </w:t>
            </w:r>
          </w:p>
          <w:p w14:paraId="6E2F1C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 xml:space="preserve">②项目安排专人定期检查维修保养废气处理设施； </w:t>
            </w:r>
          </w:p>
          <w:p w14:paraId="282D27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③</w:t>
            </w:r>
            <w:r>
              <w:rPr>
                <w:rFonts w:hint="eastAsia" w:ascii="Times New Roman" w:hAnsi="Times New Roman" w:cs="Times New Roman"/>
                <w:color w:val="auto"/>
                <w:sz w:val="24"/>
                <w:szCs w:val="24"/>
                <w:highlight w:val="none"/>
                <w:lang w:val="en-US" w:eastAsia="zh-CN"/>
              </w:rPr>
              <w:t>按照活性炭管理要求，定期更换活性炭</w:t>
            </w:r>
            <w:r>
              <w:rPr>
                <w:rFonts w:hint="default" w:ascii="Times New Roman" w:hAnsi="Times New Roman" w:cs="Times New Roman"/>
                <w:color w:val="auto"/>
                <w:sz w:val="24"/>
                <w:szCs w:val="24"/>
                <w:highlight w:val="none"/>
                <w:lang w:val="en-US" w:eastAsia="zh-CN"/>
              </w:rPr>
              <w:t xml:space="preserve">。 </w:t>
            </w:r>
          </w:p>
          <w:p w14:paraId="64FD31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 xml:space="preserve">（2）项目危废间的风险防范措施 </w:t>
            </w:r>
          </w:p>
          <w:p w14:paraId="777342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 xml:space="preserve">①项目危险废物定期更换后避免露天存放，需要使用密闭包装桶盛装； </w:t>
            </w:r>
          </w:p>
          <w:p w14:paraId="347CF6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 xml:space="preserve">②堆放危险废物的高度应根据地面承载能力确定； </w:t>
            </w:r>
          </w:p>
          <w:p w14:paraId="1B15ED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 xml:space="preserve">③危险废物临时堆放场要做好防风、防雨、防晒； </w:t>
            </w:r>
          </w:p>
          <w:p w14:paraId="4BA82D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 xml:space="preserve">④不相容的危险废物不能堆放在一起； </w:t>
            </w:r>
          </w:p>
          <w:p w14:paraId="6A0DB2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 xml:space="preserve">⑤危险废物仓位置地面做好防腐、防渗透处理。 </w:t>
            </w:r>
          </w:p>
          <w:p w14:paraId="65BCC9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 xml:space="preserve">（3）项目原料仓库防范措施 </w:t>
            </w:r>
          </w:p>
          <w:p w14:paraId="7D4AAC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 xml:space="preserve">①设置专门的原料仓库，并由专人管理，做好日常出入库登记。 </w:t>
            </w:r>
          </w:p>
          <w:p w14:paraId="10FB63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 xml:space="preserve">②原料仓库常备吸毡、黄沙、木屑等物，常备防毒面具、防护服、防腐手套等防护用品，发现泄漏物料便于及时吸收清理。 </w:t>
            </w:r>
          </w:p>
          <w:p w14:paraId="46A0E2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 xml:space="preserve">③卸料及搬运时要轻拿轻放，以免损坏包装，引起泄漏。 </w:t>
            </w:r>
          </w:p>
          <w:p w14:paraId="52B5CD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 xml:space="preserve">④原料仓库内原料应根据品种不同分类分处存放，严禁混合存放。 </w:t>
            </w:r>
          </w:p>
          <w:p w14:paraId="5A4700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 xml:space="preserve">（4）项目火灾事故防范措施 </w:t>
            </w:r>
          </w:p>
          <w:p w14:paraId="35D539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制定和落实防火安全责任制及消防安全规章制度，加强员工消防安全意识培训。</w:t>
            </w:r>
          </w:p>
          <w:p w14:paraId="412673D0">
            <w:pPr>
              <w:pStyle w:val="19"/>
              <w:keepNext w:val="0"/>
              <w:keepLines w:val="0"/>
              <w:suppressLineNumbers w:val="0"/>
              <w:spacing w:before="0" w:beforeAutospacing="0" w:after="0" w:afterAutospacing="0" w:line="360" w:lineRule="auto"/>
              <w:ind w:left="0" w:leftChars="0" w:right="0" w:firstLine="482" w:firstLineChars="200"/>
              <w:rPr>
                <w:rFonts w:hint="default" w:ascii="Times New Roman" w:hAnsi="Times New Roman" w:eastAsia="宋体" w:cs="Times New Roman"/>
                <w:b/>
                <w:bCs/>
                <w:color w:val="auto"/>
                <w:sz w:val="24"/>
                <w:szCs w:val="22"/>
                <w:highlight w:val="none"/>
                <w:lang w:val="en-US" w:eastAsia="zh-CN"/>
              </w:rPr>
            </w:pPr>
            <w:r>
              <w:rPr>
                <w:rFonts w:hint="eastAsia" w:ascii="Times New Roman" w:hAnsi="Times New Roman" w:eastAsia="宋体" w:cs="Times New Roman"/>
                <w:b/>
                <w:bCs/>
                <w:color w:val="auto"/>
                <w:sz w:val="24"/>
                <w:szCs w:val="22"/>
                <w:highlight w:val="none"/>
                <w:lang w:val="en-US" w:eastAsia="zh-CN"/>
              </w:rPr>
              <w:t>八、</w:t>
            </w:r>
            <w:r>
              <w:rPr>
                <w:rFonts w:hint="default" w:ascii="Times New Roman" w:hAnsi="Times New Roman" w:eastAsia="宋体" w:cs="Times New Roman"/>
                <w:b/>
                <w:bCs/>
                <w:color w:val="auto"/>
                <w:sz w:val="24"/>
                <w:szCs w:val="22"/>
                <w:highlight w:val="none"/>
                <w:lang w:val="en-US" w:eastAsia="zh-CN"/>
              </w:rPr>
              <w:t>电磁辐射</w:t>
            </w:r>
          </w:p>
          <w:p w14:paraId="40C5387E">
            <w:pPr>
              <w:pStyle w:val="19"/>
              <w:keepNext w:val="0"/>
              <w:keepLines w:val="0"/>
              <w:suppressLineNumbers w:val="0"/>
              <w:spacing w:before="0" w:beforeAutospacing="0" w:after="0" w:afterAutospacing="0" w:line="360" w:lineRule="auto"/>
              <w:ind w:left="0" w:leftChars="0" w:right="0" w:firstLine="480" w:firstLineChars="200"/>
              <w:rPr>
                <w:rFonts w:hint="default" w:ascii="Times New Roman" w:hAnsi="Times New Roman" w:eastAsia="宋体" w:cs="Times New Roman"/>
                <w:b w:val="0"/>
                <w:bCs w:val="0"/>
                <w:color w:val="auto"/>
                <w:sz w:val="24"/>
                <w:szCs w:val="22"/>
                <w:highlight w:val="none"/>
              </w:rPr>
            </w:pPr>
            <w:r>
              <w:rPr>
                <w:rFonts w:hint="default" w:ascii="Times New Roman" w:hAnsi="Times New Roman" w:eastAsia="宋体" w:cs="Times New Roman"/>
                <w:b w:val="0"/>
                <w:bCs w:val="0"/>
                <w:color w:val="auto"/>
                <w:sz w:val="24"/>
                <w:szCs w:val="22"/>
                <w:highlight w:val="none"/>
              </w:rPr>
              <w:t>本项目不涉及电磁辐射内容，根据《建设项目环境影响报告表编制技术指南》，不用进行电磁辐射环境影响分析</w:t>
            </w:r>
            <w:r>
              <w:rPr>
                <w:rFonts w:hint="default" w:ascii="Times New Roman" w:hAnsi="Times New Roman" w:eastAsia="宋体" w:cs="Times New Roman"/>
                <w:b w:val="0"/>
                <w:bCs w:val="0"/>
                <w:color w:val="auto"/>
                <w:sz w:val="24"/>
                <w:szCs w:val="22"/>
                <w:highlight w:val="none"/>
                <w:lang w:eastAsia="zh-CN"/>
              </w:rPr>
              <w:t>。</w:t>
            </w:r>
          </w:p>
          <w:p w14:paraId="5E629011">
            <w:pPr>
              <w:pStyle w:val="28"/>
              <w:keepNext w:val="0"/>
              <w:keepLines w:val="0"/>
              <w:suppressLineNumbers w:val="0"/>
              <w:ind w:left="0" w:right="0"/>
              <w:jc w:val="left"/>
              <w:outlineLvl w:val="0"/>
              <w:rPr>
                <w:rFonts w:hint="default" w:ascii="Times New Roman" w:hAnsi="Times New Roman" w:eastAsia="宋体" w:cs="Times New Roman"/>
                <w:b/>
                <w:bCs/>
                <w:snapToGrid w:val="0"/>
                <w:color w:val="auto"/>
                <w:sz w:val="30"/>
                <w:szCs w:val="30"/>
                <w:highlight w:val="none"/>
                <w:vertAlign w:val="baseline"/>
              </w:rPr>
            </w:pPr>
          </w:p>
        </w:tc>
      </w:tr>
    </w:tbl>
    <w:p w14:paraId="2D064FA9">
      <w:pPr>
        <w:pStyle w:val="28"/>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b/>
          <w:bCs/>
          <w:snapToGrid w:val="0"/>
          <w:color w:val="auto"/>
          <w:sz w:val="30"/>
          <w:szCs w:val="30"/>
          <w:highlight w:val="none"/>
        </w:rPr>
      </w:pPr>
      <w:r>
        <w:rPr>
          <w:rFonts w:hint="default" w:ascii="Times New Roman" w:hAnsi="Times New Roman" w:eastAsia="宋体" w:cs="Times New Roman"/>
          <w:b/>
          <w:bCs/>
          <w:snapToGrid w:val="0"/>
          <w:color w:val="auto"/>
          <w:sz w:val="30"/>
          <w:szCs w:val="30"/>
          <w:highlight w:val="none"/>
        </w:rPr>
        <w:t>五、</w:t>
      </w:r>
      <w:bookmarkStart w:id="6" w:name="_Hlk54167917"/>
      <w:r>
        <w:rPr>
          <w:rFonts w:hint="default" w:ascii="Times New Roman" w:hAnsi="Times New Roman" w:eastAsia="宋体" w:cs="Times New Roman"/>
          <w:b/>
          <w:bCs/>
          <w:snapToGrid w:val="0"/>
          <w:color w:val="auto"/>
          <w:sz w:val="30"/>
          <w:szCs w:val="30"/>
          <w:highlight w:val="none"/>
        </w:rPr>
        <w:t>环境保护措施监督检查清单</w:t>
      </w:r>
      <w:bookmarkEnd w:id="6"/>
    </w:p>
    <w:tbl>
      <w:tblPr>
        <w:tblStyle w:val="3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54"/>
        <w:gridCol w:w="1560"/>
        <w:gridCol w:w="1485"/>
        <w:gridCol w:w="1275"/>
        <w:gridCol w:w="2926"/>
      </w:tblGrid>
      <w:tr w14:paraId="746794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54" w:type="dxa"/>
            <w:tcBorders>
              <w:tl2br w:val="single" w:color="auto" w:sz="4" w:space="0"/>
            </w:tcBorders>
            <w:noWrap w:val="0"/>
            <w:vAlign w:val="top"/>
          </w:tcPr>
          <w:p w14:paraId="406C2C55">
            <w:pPr>
              <w:keepNext w:val="0"/>
              <w:keepLines w:val="0"/>
              <w:suppressLineNumbers w:val="0"/>
              <w:adjustRightInd w:val="0"/>
              <w:snapToGrid w:val="0"/>
              <w:spacing w:before="0" w:beforeAutospacing="0" w:after="0" w:afterAutospacing="0"/>
              <w:ind w:left="0" w:right="0" w:firstLine="84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内容</w:t>
            </w:r>
          </w:p>
          <w:p w14:paraId="536EC375">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要素</w:t>
            </w:r>
          </w:p>
        </w:tc>
        <w:tc>
          <w:tcPr>
            <w:tcW w:w="1560" w:type="dxa"/>
            <w:noWrap w:val="0"/>
            <w:vAlign w:val="center"/>
          </w:tcPr>
          <w:p w14:paraId="3A17B2E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排放口(编号、</w:t>
            </w:r>
          </w:p>
          <w:p w14:paraId="2F21A56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名称)/污染源</w:t>
            </w:r>
          </w:p>
        </w:tc>
        <w:tc>
          <w:tcPr>
            <w:tcW w:w="1485" w:type="dxa"/>
            <w:noWrap w:val="0"/>
            <w:vAlign w:val="center"/>
          </w:tcPr>
          <w:p w14:paraId="0A5C6B9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污染物项目</w:t>
            </w:r>
          </w:p>
        </w:tc>
        <w:tc>
          <w:tcPr>
            <w:tcW w:w="1275" w:type="dxa"/>
            <w:noWrap w:val="0"/>
            <w:vAlign w:val="center"/>
          </w:tcPr>
          <w:p w14:paraId="231B780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环境保护措施</w:t>
            </w:r>
          </w:p>
        </w:tc>
        <w:tc>
          <w:tcPr>
            <w:tcW w:w="2926" w:type="dxa"/>
            <w:noWrap w:val="0"/>
            <w:vAlign w:val="center"/>
          </w:tcPr>
          <w:p w14:paraId="2AC5734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执行标准</w:t>
            </w:r>
          </w:p>
        </w:tc>
      </w:tr>
      <w:tr w14:paraId="30A95C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54" w:type="dxa"/>
            <w:vMerge w:val="restart"/>
            <w:noWrap w:val="0"/>
            <w:vAlign w:val="center"/>
          </w:tcPr>
          <w:p w14:paraId="4C54C6A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大气环境</w:t>
            </w:r>
          </w:p>
        </w:tc>
        <w:tc>
          <w:tcPr>
            <w:tcW w:w="1560" w:type="dxa"/>
            <w:vMerge w:val="restart"/>
            <w:noWrap w:val="0"/>
            <w:vAlign w:val="center"/>
          </w:tcPr>
          <w:p w14:paraId="67BB942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eastAsia="zh-CN"/>
              </w:rPr>
              <w:t>DA001</w:t>
            </w:r>
          </w:p>
        </w:tc>
        <w:tc>
          <w:tcPr>
            <w:tcW w:w="1485" w:type="dxa"/>
            <w:noWrap w:val="0"/>
            <w:vAlign w:val="center"/>
          </w:tcPr>
          <w:p w14:paraId="0D23E93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总VOCs</w:t>
            </w:r>
          </w:p>
        </w:tc>
        <w:tc>
          <w:tcPr>
            <w:tcW w:w="1275" w:type="dxa"/>
            <w:vMerge w:val="restart"/>
            <w:noWrap w:val="0"/>
            <w:vAlign w:val="center"/>
          </w:tcPr>
          <w:p w14:paraId="328C2B5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eastAsia="zh-CN"/>
              </w:rPr>
              <w:t>两级活性炭</w:t>
            </w:r>
            <w:r>
              <w:rPr>
                <w:rFonts w:hint="default" w:ascii="Times New Roman" w:hAnsi="Times New Roman" w:eastAsia="宋体" w:cs="Times New Roman"/>
                <w:color w:val="auto"/>
                <w:szCs w:val="21"/>
                <w:highlight w:val="none"/>
              </w:rPr>
              <w:t>吸附</w:t>
            </w:r>
            <w:r>
              <w:rPr>
                <w:rFonts w:hint="default" w:ascii="Times New Roman" w:hAnsi="Times New Roman" w:eastAsia="宋体" w:cs="Times New Roman"/>
                <w:color w:val="auto"/>
                <w:szCs w:val="21"/>
                <w:highlight w:val="none"/>
                <w:lang w:val="en-US" w:eastAsia="zh-CN"/>
              </w:rPr>
              <w:t>装置</w:t>
            </w:r>
          </w:p>
        </w:tc>
        <w:tc>
          <w:tcPr>
            <w:tcW w:w="2926" w:type="dxa"/>
            <w:noWrap w:val="0"/>
            <w:vAlign w:val="center"/>
          </w:tcPr>
          <w:p w14:paraId="0ADB334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 w:val="21"/>
                <w:szCs w:val="21"/>
                <w:highlight w:val="none"/>
              </w:rPr>
              <w:t>《印刷行业挥发性有机化合物排放标准》(DB44/815-2010)</w:t>
            </w:r>
            <w:r>
              <w:rPr>
                <w:rFonts w:hint="eastAsia" w:ascii="Times New Roman" w:hAnsi="Times New Roman" w:eastAsia="宋体" w:cs="Times New Roman"/>
                <w:color w:val="auto"/>
                <w:sz w:val="21"/>
                <w:szCs w:val="21"/>
                <w:highlight w:val="none"/>
                <w:lang w:val="en-US" w:eastAsia="zh-CN"/>
              </w:rPr>
              <w:t>表2 Ⅱ时段</w:t>
            </w:r>
          </w:p>
        </w:tc>
      </w:tr>
      <w:tr w14:paraId="46855D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54" w:type="dxa"/>
            <w:vMerge w:val="continue"/>
            <w:noWrap w:val="0"/>
            <w:vAlign w:val="center"/>
          </w:tcPr>
          <w:p w14:paraId="0B6B9DB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1560" w:type="dxa"/>
            <w:vMerge w:val="continue"/>
            <w:noWrap w:val="0"/>
            <w:vAlign w:val="center"/>
          </w:tcPr>
          <w:p w14:paraId="699DA05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eastAsia="zh-CN"/>
              </w:rPr>
            </w:pPr>
          </w:p>
        </w:tc>
        <w:tc>
          <w:tcPr>
            <w:tcW w:w="1485" w:type="dxa"/>
            <w:noWrap w:val="0"/>
            <w:vAlign w:val="center"/>
          </w:tcPr>
          <w:p w14:paraId="3E9589C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NMHC</w:t>
            </w:r>
          </w:p>
        </w:tc>
        <w:tc>
          <w:tcPr>
            <w:tcW w:w="1275" w:type="dxa"/>
            <w:vMerge w:val="continue"/>
            <w:noWrap w:val="0"/>
            <w:vAlign w:val="center"/>
          </w:tcPr>
          <w:p w14:paraId="2CBD6DE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eastAsia="zh-CN"/>
              </w:rPr>
            </w:pPr>
          </w:p>
        </w:tc>
        <w:tc>
          <w:tcPr>
            <w:tcW w:w="2926" w:type="dxa"/>
            <w:noWrap w:val="0"/>
            <w:vAlign w:val="center"/>
          </w:tcPr>
          <w:p w14:paraId="00CF4DF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 w:val="21"/>
                <w:szCs w:val="21"/>
                <w:highlight w:val="none"/>
                <w:lang w:val="en-US" w:eastAsia="zh-CN"/>
              </w:rPr>
              <w:t>《印刷工业大气污染物排放标准》（GB41616-2022）</w:t>
            </w:r>
            <w:r>
              <w:rPr>
                <w:rFonts w:hint="eastAsia" w:ascii="Times New Roman" w:hAnsi="Times New Roman" w:eastAsia="宋体" w:cs="Times New Roman"/>
                <w:color w:val="auto"/>
                <w:sz w:val="21"/>
                <w:szCs w:val="21"/>
                <w:highlight w:val="none"/>
                <w:lang w:val="en-US" w:eastAsia="zh-CN"/>
              </w:rPr>
              <w:t>表1</w:t>
            </w:r>
          </w:p>
        </w:tc>
      </w:tr>
      <w:tr w14:paraId="0E11F1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54" w:type="dxa"/>
            <w:vMerge w:val="continue"/>
            <w:noWrap w:val="0"/>
            <w:vAlign w:val="center"/>
          </w:tcPr>
          <w:p w14:paraId="5B01C67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1560" w:type="dxa"/>
            <w:vMerge w:val="continue"/>
            <w:noWrap w:val="0"/>
            <w:vAlign w:val="center"/>
          </w:tcPr>
          <w:p w14:paraId="5BD2C87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eastAsia="zh-CN"/>
              </w:rPr>
            </w:pPr>
          </w:p>
        </w:tc>
        <w:tc>
          <w:tcPr>
            <w:tcW w:w="1485" w:type="dxa"/>
            <w:noWrap w:val="0"/>
            <w:vAlign w:val="center"/>
          </w:tcPr>
          <w:p w14:paraId="565F3E7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臭气浓度</w:t>
            </w:r>
          </w:p>
        </w:tc>
        <w:tc>
          <w:tcPr>
            <w:tcW w:w="1275" w:type="dxa"/>
            <w:vMerge w:val="continue"/>
            <w:noWrap w:val="0"/>
            <w:vAlign w:val="center"/>
          </w:tcPr>
          <w:p w14:paraId="72665F9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eastAsia="zh-CN"/>
              </w:rPr>
            </w:pPr>
          </w:p>
        </w:tc>
        <w:tc>
          <w:tcPr>
            <w:tcW w:w="2926" w:type="dxa"/>
            <w:noWrap w:val="0"/>
            <w:vAlign w:val="center"/>
          </w:tcPr>
          <w:p w14:paraId="3161682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 w:val="21"/>
                <w:szCs w:val="21"/>
                <w:highlight w:val="none"/>
                <w:lang w:val="en-US" w:eastAsia="zh-CN"/>
              </w:rPr>
              <w:t>《恶臭污染物排放标准》(GB14554-93)</w:t>
            </w:r>
          </w:p>
        </w:tc>
      </w:tr>
      <w:tr w14:paraId="762091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54" w:type="dxa"/>
            <w:vMerge w:val="continue"/>
            <w:noWrap w:val="0"/>
            <w:vAlign w:val="center"/>
          </w:tcPr>
          <w:p w14:paraId="67F67F4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1560" w:type="dxa"/>
            <w:vMerge w:val="restart"/>
            <w:noWrap w:val="0"/>
            <w:vAlign w:val="center"/>
          </w:tcPr>
          <w:p w14:paraId="62EDD18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厂界</w:t>
            </w:r>
            <w:r>
              <w:rPr>
                <w:rFonts w:hint="default" w:ascii="Times New Roman" w:hAnsi="Times New Roman" w:eastAsia="宋体" w:cs="Times New Roman"/>
                <w:color w:val="auto"/>
                <w:szCs w:val="21"/>
                <w:highlight w:val="none"/>
                <w:lang w:val="en-US" w:eastAsia="zh-CN"/>
              </w:rPr>
              <w:t>无组织排放</w:t>
            </w:r>
          </w:p>
        </w:tc>
        <w:tc>
          <w:tcPr>
            <w:tcW w:w="1485" w:type="dxa"/>
            <w:noWrap w:val="0"/>
            <w:vAlign w:val="center"/>
          </w:tcPr>
          <w:p w14:paraId="5C8D6BC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总VOCs</w:t>
            </w:r>
          </w:p>
        </w:tc>
        <w:tc>
          <w:tcPr>
            <w:tcW w:w="1275" w:type="dxa"/>
            <w:vMerge w:val="restart"/>
            <w:noWrap w:val="0"/>
            <w:vAlign w:val="center"/>
          </w:tcPr>
          <w:p w14:paraId="2E09220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加强车间通风、车间管理</w:t>
            </w:r>
          </w:p>
        </w:tc>
        <w:tc>
          <w:tcPr>
            <w:tcW w:w="2926" w:type="dxa"/>
            <w:vMerge w:val="restart"/>
            <w:noWrap w:val="0"/>
            <w:vAlign w:val="center"/>
          </w:tcPr>
          <w:p w14:paraId="43B2317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《印刷行业挥发性有机化合物排放标准》(DB44/815-2010)</w:t>
            </w:r>
            <w:r>
              <w:rPr>
                <w:rFonts w:hint="eastAsia" w:ascii="Times New Roman" w:hAnsi="Times New Roman" w:eastAsia="宋体" w:cs="Times New Roman"/>
                <w:color w:val="auto"/>
                <w:sz w:val="21"/>
                <w:szCs w:val="21"/>
                <w:highlight w:val="none"/>
                <w:lang w:val="en-US" w:eastAsia="zh-CN"/>
              </w:rPr>
              <w:t>与</w:t>
            </w:r>
            <w:r>
              <w:rPr>
                <w:rFonts w:hint="default" w:ascii="Times New Roman" w:hAnsi="Times New Roman" w:eastAsia="宋体" w:cs="Times New Roman"/>
                <w:color w:val="auto"/>
                <w:sz w:val="21"/>
                <w:szCs w:val="21"/>
                <w:highlight w:val="none"/>
                <w:lang w:val="en-US" w:eastAsia="zh-CN"/>
              </w:rPr>
              <w:t>《印刷工业大气污染物排放标准》（GB41616-2022</w:t>
            </w:r>
            <w:r>
              <w:rPr>
                <w:rFonts w:hint="eastAsia" w:ascii="Times New Roman" w:hAnsi="Times New Roman" w:eastAsia="宋体" w:cs="Times New Roman"/>
                <w:color w:val="auto"/>
                <w:sz w:val="21"/>
                <w:szCs w:val="21"/>
                <w:highlight w:val="none"/>
                <w:lang w:val="en-US" w:eastAsia="zh-CN"/>
              </w:rPr>
              <w:t>）较严值</w:t>
            </w:r>
          </w:p>
        </w:tc>
      </w:tr>
      <w:tr w14:paraId="6EB56B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54" w:type="dxa"/>
            <w:vMerge w:val="continue"/>
            <w:noWrap w:val="0"/>
            <w:vAlign w:val="center"/>
          </w:tcPr>
          <w:p w14:paraId="067F820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1560" w:type="dxa"/>
            <w:vMerge w:val="continue"/>
            <w:noWrap w:val="0"/>
            <w:vAlign w:val="center"/>
          </w:tcPr>
          <w:p w14:paraId="65C61960">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rPr>
            </w:pPr>
          </w:p>
        </w:tc>
        <w:tc>
          <w:tcPr>
            <w:tcW w:w="1485" w:type="dxa"/>
            <w:noWrap w:val="0"/>
            <w:vAlign w:val="center"/>
          </w:tcPr>
          <w:p w14:paraId="09E2FA8E">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臭气浓度</w:t>
            </w:r>
          </w:p>
        </w:tc>
        <w:tc>
          <w:tcPr>
            <w:tcW w:w="1275" w:type="dxa"/>
            <w:vMerge w:val="continue"/>
            <w:noWrap w:val="0"/>
            <w:vAlign w:val="center"/>
          </w:tcPr>
          <w:p w14:paraId="7BABEB8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p>
        </w:tc>
        <w:tc>
          <w:tcPr>
            <w:tcW w:w="2926" w:type="dxa"/>
            <w:vMerge w:val="continue"/>
            <w:noWrap w:val="0"/>
            <w:vAlign w:val="center"/>
          </w:tcPr>
          <w:p w14:paraId="728CE8E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7FCBC7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54" w:type="dxa"/>
            <w:vMerge w:val="continue"/>
            <w:noWrap w:val="0"/>
            <w:vAlign w:val="center"/>
          </w:tcPr>
          <w:p w14:paraId="73F1F68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1560" w:type="dxa"/>
            <w:noWrap w:val="0"/>
            <w:vAlign w:val="center"/>
          </w:tcPr>
          <w:p w14:paraId="547B9BF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厂区内无组织</w:t>
            </w:r>
          </w:p>
        </w:tc>
        <w:tc>
          <w:tcPr>
            <w:tcW w:w="1485" w:type="dxa"/>
            <w:noWrap w:val="0"/>
            <w:vAlign w:val="center"/>
          </w:tcPr>
          <w:p w14:paraId="77B98D1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val="en-US" w:eastAsia="zh-CN"/>
              </w:rPr>
              <w:t>NMHC</w:t>
            </w:r>
          </w:p>
        </w:tc>
        <w:tc>
          <w:tcPr>
            <w:tcW w:w="1275" w:type="dxa"/>
            <w:noWrap w:val="0"/>
            <w:vAlign w:val="center"/>
          </w:tcPr>
          <w:p w14:paraId="06642D8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w:t>
            </w:r>
          </w:p>
        </w:tc>
        <w:tc>
          <w:tcPr>
            <w:tcW w:w="2926" w:type="dxa"/>
            <w:noWrap w:val="0"/>
            <w:vAlign w:val="center"/>
          </w:tcPr>
          <w:p w14:paraId="05B6163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《印刷工业大气污染物排放标准》（GB41616-2022）表A.1</w:t>
            </w:r>
            <w:r>
              <w:rPr>
                <w:rFonts w:hint="eastAsia" w:ascii="Times New Roman" w:hAnsi="Times New Roman" w:eastAsia="宋体" w:cs="Times New Roman"/>
                <w:color w:val="auto"/>
                <w:sz w:val="21"/>
                <w:szCs w:val="21"/>
                <w:highlight w:val="none"/>
                <w:lang w:val="en-US" w:eastAsia="zh-CN"/>
              </w:rPr>
              <w:t>以及</w:t>
            </w:r>
            <w:r>
              <w:rPr>
                <w:rFonts w:hint="default" w:ascii="Times New Roman" w:hAnsi="Times New Roman" w:eastAsia="宋体" w:cs="Times New Roman"/>
                <w:color w:val="auto"/>
                <w:sz w:val="21"/>
                <w:szCs w:val="21"/>
                <w:highlight w:val="none"/>
                <w:lang w:val="en-US" w:eastAsia="zh-CN"/>
              </w:rPr>
              <w:t>广东省地方标准《固定污染源挥发性有机物综合排放标准》（DB44/2367-2022）表3 厂区内VOCs无组织排放限值两者较严值</w:t>
            </w:r>
          </w:p>
        </w:tc>
      </w:tr>
      <w:tr w14:paraId="35EEE3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54" w:type="dxa"/>
            <w:noWrap w:val="0"/>
            <w:vAlign w:val="center"/>
          </w:tcPr>
          <w:p w14:paraId="26FA2B3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地表水环境</w:t>
            </w:r>
          </w:p>
        </w:tc>
        <w:tc>
          <w:tcPr>
            <w:tcW w:w="1560" w:type="dxa"/>
            <w:noWrap w:val="0"/>
            <w:vAlign w:val="center"/>
          </w:tcPr>
          <w:p w14:paraId="5C3B3D2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val="en-US" w:eastAsia="zh-CN"/>
              </w:rPr>
              <w:t>DW001</w:t>
            </w:r>
          </w:p>
        </w:tc>
        <w:tc>
          <w:tcPr>
            <w:tcW w:w="1485" w:type="dxa"/>
            <w:noWrap w:val="0"/>
            <w:vAlign w:val="center"/>
          </w:tcPr>
          <w:p w14:paraId="4753066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rPr>
              <w:t>CODcr、BOD</w:t>
            </w:r>
            <w:r>
              <w:rPr>
                <w:rFonts w:hint="default" w:ascii="Times New Roman" w:hAnsi="Times New Roman" w:eastAsia="宋体" w:cs="Times New Roman"/>
                <w:color w:val="auto"/>
                <w:szCs w:val="21"/>
                <w:highlight w:val="none"/>
                <w:vertAlign w:val="subscript"/>
              </w:rPr>
              <w:t>5</w:t>
            </w:r>
            <w:r>
              <w:rPr>
                <w:rFonts w:hint="default" w:ascii="Times New Roman" w:hAnsi="Times New Roman" w:eastAsia="宋体" w:cs="Times New Roman"/>
                <w:color w:val="auto"/>
                <w:szCs w:val="21"/>
                <w:highlight w:val="none"/>
              </w:rPr>
              <w:t>、氨氮、SS</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TP、TN</w:t>
            </w:r>
          </w:p>
        </w:tc>
        <w:tc>
          <w:tcPr>
            <w:tcW w:w="1275" w:type="dxa"/>
            <w:noWrap w:val="0"/>
            <w:vAlign w:val="center"/>
          </w:tcPr>
          <w:p w14:paraId="0878C22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rPr>
              <w:t>三级化粪池</w:t>
            </w:r>
            <w:r>
              <w:rPr>
                <w:rFonts w:hint="eastAsia" w:ascii="Times New Roman" w:hAnsi="Times New Roman" w:eastAsia="宋体" w:cs="Times New Roman"/>
                <w:color w:val="auto"/>
                <w:szCs w:val="21"/>
                <w:highlight w:val="none"/>
                <w:lang w:val="en-US" w:eastAsia="zh-CN"/>
              </w:rPr>
              <w:t>预处理后排入市政污水管网</w:t>
            </w:r>
          </w:p>
        </w:tc>
        <w:tc>
          <w:tcPr>
            <w:tcW w:w="2926" w:type="dxa"/>
            <w:noWrap w:val="0"/>
            <w:vAlign w:val="center"/>
          </w:tcPr>
          <w:p w14:paraId="639FCFA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 w:val="21"/>
                <w:szCs w:val="21"/>
                <w:highlight w:val="none"/>
                <w:lang w:val="en-US" w:eastAsia="zh-CN"/>
              </w:rPr>
              <w:t>广东省《水污染物排放限值》（DB44/26-2001）第二时段三级标准和阳东经济开发区污水处理厂设计进水水质要求两者的较严值</w:t>
            </w:r>
          </w:p>
        </w:tc>
      </w:tr>
      <w:tr w14:paraId="03DF80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54" w:type="dxa"/>
            <w:noWrap w:val="0"/>
            <w:vAlign w:val="center"/>
          </w:tcPr>
          <w:p w14:paraId="1B9CB18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声环境</w:t>
            </w:r>
          </w:p>
        </w:tc>
        <w:tc>
          <w:tcPr>
            <w:tcW w:w="1560" w:type="dxa"/>
            <w:noWrap w:val="0"/>
            <w:vAlign w:val="center"/>
          </w:tcPr>
          <w:p w14:paraId="4E04AB9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胶印机、砍纸机、模切机、啤机、开槽机</w:t>
            </w:r>
            <w:r>
              <w:rPr>
                <w:rFonts w:hint="default" w:ascii="Times New Roman" w:hAnsi="Times New Roman" w:eastAsia="宋体" w:cs="Times New Roman"/>
                <w:color w:val="auto"/>
                <w:szCs w:val="21"/>
                <w:highlight w:val="none"/>
              </w:rPr>
              <w:t>等设备</w:t>
            </w:r>
          </w:p>
        </w:tc>
        <w:tc>
          <w:tcPr>
            <w:tcW w:w="1485" w:type="dxa"/>
            <w:noWrap w:val="0"/>
            <w:vAlign w:val="center"/>
          </w:tcPr>
          <w:p w14:paraId="068EA03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Leq</w:t>
            </w:r>
          </w:p>
        </w:tc>
        <w:tc>
          <w:tcPr>
            <w:tcW w:w="1275" w:type="dxa"/>
            <w:noWrap w:val="0"/>
            <w:vAlign w:val="center"/>
          </w:tcPr>
          <w:p w14:paraId="4560C01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Cs/>
                <w:color w:val="auto"/>
                <w:szCs w:val="21"/>
                <w:highlight w:val="none"/>
              </w:rPr>
              <w:t>采取减振、隔声、设备定期维护等措施</w:t>
            </w:r>
          </w:p>
        </w:tc>
        <w:tc>
          <w:tcPr>
            <w:tcW w:w="2926" w:type="dxa"/>
            <w:noWrap w:val="0"/>
            <w:vAlign w:val="center"/>
          </w:tcPr>
          <w:p w14:paraId="0DDA5B2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执行《工业企业厂界环境噪声排放标准》（GB12348-2008）</w:t>
            </w:r>
            <w:r>
              <w:rPr>
                <w:rFonts w:hint="default" w:ascii="Times New Roman" w:hAnsi="Times New Roman" w:eastAsia="宋体" w:cs="Times New Roman"/>
                <w:color w:val="auto"/>
                <w:szCs w:val="21"/>
                <w:highlight w:val="none"/>
                <w:lang w:val="en-US" w:eastAsia="zh-CN"/>
              </w:rPr>
              <w:t>3</w:t>
            </w:r>
            <w:r>
              <w:rPr>
                <w:rFonts w:hint="default" w:ascii="Times New Roman" w:hAnsi="Times New Roman" w:eastAsia="宋体" w:cs="Times New Roman"/>
                <w:color w:val="auto"/>
                <w:szCs w:val="21"/>
                <w:highlight w:val="none"/>
              </w:rPr>
              <w:t>类排放限值</w:t>
            </w:r>
          </w:p>
        </w:tc>
      </w:tr>
      <w:tr w14:paraId="59B16B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54" w:type="dxa"/>
            <w:noWrap w:val="0"/>
            <w:vAlign w:val="center"/>
          </w:tcPr>
          <w:p w14:paraId="18DB8B9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电磁辐射</w:t>
            </w:r>
          </w:p>
        </w:tc>
        <w:tc>
          <w:tcPr>
            <w:tcW w:w="1560" w:type="dxa"/>
            <w:noWrap w:val="0"/>
            <w:vAlign w:val="center"/>
          </w:tcPr>
          <w:p w14:paraId="69736EA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w:t>
            </w:r>
          </w:p>
        </w:tc>
        <w:tc>
          <w:tcPr>
            <w:tcW w:w="1485" w:type="dxa"/>
            <w:noWrap w:val="0"/>
            <w:vAlign w:val="center"/>
          </w:tcPr>
          <w:p w14:paraId="5FA0186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w:t>
            </w:r>
          </w:p>
        </w:tc>
        <w:tc>
          <w:tcPr>
            <w:tcW w:w="1275" w:type="dxa"/>
            <w:noWrap w:val="0"/>
            <w:vAlign w:val="center"/>
          </w:tcPr>
          <w:p w14:paraId="10217D5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w:t>
            </w:r>
          </w:p>
        </w:tc>
        <w:tc>
          <w:tcPr>
            <w:tcW w:w="2926" w:type="dxa"/>
            <w:noWrap w:val="0"/>
            <w:vAlign w:val="center"/>
          </w:tcPr>
          <w:p w14:paraId="461A08D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w:t>
            </w:r>
          </w:p>
        </w:tc>
      </w:tr>
      <w:tr w14:paraId="375B25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1554" w:type="dxa"/>
            <w:noWrap w:val="0"/>
            <w:vAlign w:val="center"/>
          </w:tcPr>
          <w:p w14:paraId="3FA38FA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固体废物</w:t>
            </w:r>
          </w:p>
        </w:tc>
        <w:tc>
          <w:tcPr>
            <w:tcW w:w="7246" w:type="dxa"/>
            <w:gridSpan w:val="4"/>
            <w:noWrap w:val="0"/>
            <w:vAlign w:val="center"/>
          </w:tcPr>
          <w:p w14:paraId="0E0CE285">
            <w:pPr>
              <w:keepNext w:val="0"/>
              <w:keepLines w:val="0"/>
              <w:suppressLineNumbers w:val="0"/>
              <w:adjustRightInd w:val="0"/>
              <w:snapToGrid w:val="0"/>
              <w:spacing w:before="0" w:beforeAutospacing="0" w:after="0" w:afterAutospacing="0"/>
              <w:ind w:left="0" w:right="0"/>
              <w:jc w:val="both"/>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生活垃圾统一收集，定期委托环卫部门清运处理；纸板边角料、废包装材料分类收集，委托专业单位回收处理；</w:t>
            </w:r>
            <w:r>
              <w:rPr>
                <w:rFonts w:hint="default" w:ascii="Times New Roman" w:hAnsi="Times New Roman" w:eastAsia="宋体" w:cs="Times New Roman"/>
                <w:color w:val="auto"/>
                <w:szCs w:val="21"/>
                <w:highlight w:val="none"/>
                <w:lang w:val="en-US" w:eastAsia="zh-CN"/>
              </w:rPr>
              <w:t>废活性炭、废抹布、废原料桶、PS废版等</w:t>
            </w:r>
            <w:r>
              <w:rPr>
                <w:rFonts w:hint="default" w:ascii="Times New Roman" w:hAnsi="Times New Roman" w:eastAsia="宋体" w:cs="Times New Roman"/>
                <w:color w:val="auto"/>
                <w:szCs w:val="21"/>
                <w:highlight w:val="none"/>
              </w:rPr>
              <w:t>委托有</w:t>
            </w:r>
            <w:r>
              <w:rPr>
                <w:rFonts w:hint="default" w:ascii="Times New Roman" w:hAnsi="Times New Roman" w:eastAsia="宋体" w:cs="Times New Roman"/>
                <w:color w:val="auto"/>
                <w:szCs w:val="21"/>
                <w:highlight w:val="none"/>
                <w:lang w:val="en-US" w:eastAsia="zh-CN"/>
              </w:rPr>
              <w:t>危废处理</w:t>
            </w:r>
            <w:r>
              <w:rPr>
                <w:rFonts w:hint="default" w:ascii="Times New Roman" w:hAnsi="Times New Roman" w:eastAsia="宋体" w:cs="Times New Roman"/>
                <w:color w:val="auto"/>
                <w:szCs w:val="21"/>
                <w:highlight w:val="none"/>
              </w:rPr>
              <w:t>资质单位处理</w:t>
            </w:r>
          </w:p>
        </w:tc>
      </w:tr>
      <w:tr w14:paraId="1E9D71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81" w:hRule="atLeast"/>
          <w:jc w:val="center"/>
        </w:trPr>
        <w:tc>
          <w:tcPr>
            <w:tcW w:w="1554" w:type="dxa"/>
            <w:noWrap w:val="0"/>
            <w:vAlign w:val="center"/>
          </w:tcPr>
          <w:p w14:paraId="4A54E96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土壤及地下水</w:t>
            </w:r>
          </w:p>
          <w:p w14:paraId="34384B1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污染防治措施</w:t>
            </w:r>
          </w:p>
        </w:tc>
        <w:tc>
          <w:tcPr>
            <w:tcW w:w="7246" w:type="dxa"/>
            <w:gridSpan w:val="4"/>
            <w:noWrap w:val="0"/>
            <w:vAlign w:val="center"/>
          </w:tcPr>
          <w:p w14:paraId="3D44D451">
            <w:pPr>
              <w:keepNext w:val="0"/>
              <w:keepLines w:val="0"/>
              <w:suppressLineNumbers w:val="0"/>
              <w:adjustRightInd w:val="0"/>
              <w:snapToGrid w:val="0"/>
              <w:spacing w:before="0" w:beforeAutospacing="0" w:after="0" w:afterAutospacing="0"/>
              <w:ind w:left="0" w:right="0"/>
              <w:jc w:val="both"/>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u w:val="none" w:color="000000"/>
                <w:lang w:val="en-US" w:eastAsia="zh-CN"/>
              </w:rPr>
              <w:t>落实分区防控措施，</w:t>
            </w:r>
            <w:r>
              <w:rPr>
                <w:rFonts w:hint="default" w:ascii="Times New Roman" w:hAnsi="Times New Roman" w:eastAsia="宋体" w:cs="Times New Roman"/>
                <w:color w:val="auto"/>
                <w:szCs w:val="21"/>
                <w:highlight w:val="none"/>
                <w:u w:val="none" w:color="000000"/>
              </w:rPr>
              <w:t>危废暂存间严格按照《危险废物贮存污染控制标准》（GB18597-2023）及其修改单的有关规范进行设计</w:t>
            </w:r>
            <w:r>
              <w:rPr>
                <w:rFonts w:hint="default" w:ascii="Times New Roman" w:hAnsi="Times New Roman" w:eastAsia="宋体" w:cs="Times New Roman"/>
                <w:color w:val="auto"/>
                <w:kern w:val="0"/>
                <w:szCs w:val="21"/>
                <w:highlight w:val="none"/>
                <w:lang w:bidi="ar"/>
              </w:rPr>
              <w:t>。</w:t>
            </w:r>
          </w:p>
        </w:tc>
      </w:tr>
      <w:tr w14:paraId="30A834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554" w:type="dxa"/>
            <w:noWrap w:val="0"/>
            <w:vAlign w:val="center"/>
          </w:tcPr>
          <w:p w14:paraId="558828B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生态保护措施</w:t>
            </w:r>
          </w:p>
        </w:tc>
        <w:tc>
          <w:tcPr>
            <w:tcW w:w="7246" w:type="dxa"/>
            <w:gridSpan w:val="4"/>
            <w:noWrap w:val="0"/>
            <w:vAlign w:val="center"/>
          </w:tcPr>
          <w:p w14:paraId="751BBE8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w:t>
            </w:r>
          </w:p>
        </w:tc>
      </w:tr>
      <w:tr w14:paraId="4C8775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6" w:hRule="atLeast"/>
          <w:jc w:val="center"/>
        </w:trPr>
        <w:tc>
          <w:tcPr>
            <w:tcW w:w="1554" w:type="dxa"/>
            <w:noWrap w:val="0"/>
            <w:vAlign w:val="center"/>
          </w:tcPr>
          <w:p w14:paraId="360C05C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pacing w:val="-8"/>
                <w:szCs w:val="21"/>
                <w:highlight w:val="none"/>
              </w:rPr>
            </w:pPr>
            <w:r>
              <w:rPr>
                <w:rFonts w:hint="default" w:ascii="Times New Roman" w:hAnsi="Times New Roman" w:eastAsia="宋体" w:cs="Times New Roman"/>
                <w:color w:val="auto"/>
                <w:spacing w:val="-8"/>
                <w:szCs w:val="21"/>
                <w:highlight w:val="none"/>
              </w:rPr>
              <w:t>环境风险</w:t>
            </w:r>
          </w:p>
          <w:p w14:paraId="240E18F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pacing w:val="-8"/>
                <w:szCs w:val="21"/>
                <w:highlight w:val="none"/>
              </w:rPr>
            </w:pPr>
            <w:r>
              <w:rPr>
                <w:rFonts w:hint="default" w:ascii="Times New Roman" w:hAnsi="Times New Roman" w:eastAsia="宋体" w:cs="Times New Roman"/>
                <w:color w:val="auto"/>
                <w:spacing w:val="-8"/>
                <w:szCs w:val="21"/>
                <w:highlight w:val="none"/>
              </w:rPr>
              <w:t>防范措施</w:t>
            </w:r>
          </w:p>
        </w:tc>
        <w:tc>
          <w:tcPr>
            <w:tcW w:w="7246" w:type="dxa"/>
            <w:gridSpan w:val="4"/>
            <w:noWrap w:val="0"/>
            <w:vAlign w:val="center"/>
          </w:tcPr>
          <w:p w14:paraId="52F201E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32"/>
                <w:highlight w:val="none"/>
              </w:rPr>
              <w:t>定期对废气收集排放系统定期进行检修维护；</w:t>
            </w:r>
            <w:r>
              <w:rPr>
                <w:rFonts w:hint="default" w:ascii="Times New Roman" w:hAnsi="Times New Roman" w:eastAsia="宋体" w:cs="Times New Roman"/>
                <w:color w:val="auto"/>
                <w:kern w:val="0"/>
                <w:szCs w:val="21"/>
                <w:highlight w:val="none"/>
                <w:lang w:bidi="ar"/>
              </w:rPr>
              <w:t>加强危险废物的运输、贮存过程的管理，规范操作 和使用规范，贮存点应做好防雨、防渗漏措施</w:t>
            </w:r>
            <w:r>
              <w:rPr>
                <w:rFonts w:hint="default" w:ascii="Times New Roman" w:hAnsi="Times New Roman" w:eastAsia="宋体" w:cs="Times New Roman"/>
                <w:color w:val="auto"/>
                <w:szCs w:val="32"/>
                <w:highlight w:val="none"/>
              </w:rPr>
              <w:t>；编制环境风险应急预案，定期演练。</w:t>
            </w:r>
          </w:p>
        </w:tc>
      </w:tr>
      <w:tr w14:paraId="385C42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554" w:type="dxa"/>
            <w:noWrap w:val="0"/>
            <w:vAlign w:val="center"/>
          </w:tcPr>
          <w:p w14:paraId="719019A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pacing w:val="-8"/>
                <w:szCs w:val="21"/>
                <w:highlight w:val="none"/>
              </w:rPr>
            </w:pPr>
            <w:r>
              <w:rPr>
                <w:rFonts w:hint="default" w:ascii="Times New Roman" w:hAnsi="Times New Roman" w:eastAsia="宋体" w:cs="Times New Roman"/>
                <w:color w:val="auto"/>
                <w:spacing w:val="-8"/>
                <w:szCs w:val="21"/>
                <w:highlight w:val="none"/>
              </w:rPr>
              <w:t>其他环境</w:t>
            </w:r>
          </w:p>
          <w:p w14:paraId="4C5C4FC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pacing w:val="-8"/>
                <w:szCs w:val="21"/>
                <w:highlight w:val="none"/>
              </w:rPr>
            </w:pPr>
            <w:r>
              <w:rPr>
                <w:rFonts w:hint="default" w:ascii="Times New Roman" w:hAnsi="Times New Roman" w:eastAsia="宋体" w:cs="Times New Roman"/>
                <w:color w:val="auto"/>
                <w:spacing w:val="-8"/>
                <w:szCs w:val="21"/>
                <w:highlight w:val="none"/>
              </w:rPr>
              <w:t>管理要求</w:t>
            </w:r>
          </w:p>
        </w:tc>
        <w:tc>
          <w:tcPr>
            <w:tcW w:w="7246" w:type="dxa"/>
            <w:gridSpan w:val="4"/>
            <w:noWrap w:val="0"/>
            <w:vAlign w:val="center"/>
          </w:tcPr>
          <w:p w14:paraId="769735A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w:t>
            </w:r>
          </w:p>
        </w:tc>
      </w:tr>
    </w:tbl>
    <w:p w14:paraId="194751AB">
      <w:pPr>
        <w:pStyle w:val="28"/>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b/>
          <w:bCs/>
          <w:snapToGrid w:val="0"/>
          <w:color w:val="auto"/>
          <w:sz w:val="30"/>
          <w:szCs w:val="30"/>
          <w:highlight w:val="none"/>
        </w:rPr>
      </w:pPr>
      <w:r>
        <w:rPr>
          <w:rFonts w:hint="default" w:ascii="Times New Roman" w:hAnsi="Times New Roman" w:eastAsia="宋体" w:cs="Times New Roman"/>
          <w:snapToGrid w:val="0"/>
          <w:color w:val="auto"/>
          <w:highlight w:val="none"/>
        </w:rPr>
        <w:br w:type="page"/>
      </w:r>
      <w:r>
        <w:rPr>
          <w:rFonts w:hint="default" w:ascii="Times New Roman" w:hAnsi="Times New Roman" w:eastAsia="宋体" w:cs="Times New Roman"/>
          <w:b/>
          <w:bCs/>
          <w:snapToGrid w:val="0"/>
          <w:color w:val="auto"/>
          <w:sz w:val="30"/>
          <w:szCs w:val="30"/>
          <w:highlight w:val="none"/>
        </w:rPr>
        <w:t>六、结论</w:t>
      </w:r>
    </w:p>
    <w:tbl>
      <w:tblPr>
        <w:tblStyle w:val="3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3EE6E0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noWrap w:val="0"/>
            <w:vAlign w:val="top"/>
          </w:tcPr>
          <w:p w14:paraId="02774CFC">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highlight w:val="none"/>
              </w:rPr>
            </w:pPr>
          </w:p>
          <w:p w14:paraId="72EB5695">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highlight w:val="none"/>
              </w:rPr>
            </w:pPr>
            <w:r>
              <w:rPr>
                <w:rFonts w:hint="eastAsia" w:cs="Times New Roman"/>
                <w:color w:val="auto"/>
                <w:sz w:val="24"/>
                <w:highlight w:val="none"/>
                <w:lang w:eastAsia="zh-CN"/>
              </w:rPr>
              <w:t>阳江市超越彩印有限公司纸制品生产建设项目</w:t>
            </w:r>
            <w:r>
              <w:rPr>
                <w:rFonts w:hint="default" w:ascii="Times New Roman" w:hAnsi="Times New Roman" w:eastAsia="宋体" w:cs="Times New Roman"/>
                <w:color w:val="auto"/>
                <w:sz w:val="24"/>
                <w:highlight w:val="none"/>
              </w:rPr>
              <w:t>项目选址符合区域环境功能区划要求，选址是合理的，并且符合国家和地方产业政策的相关要求。项目运营期如能采取积极措施不断加大污染治理力度，并严格执行“三同时”制度，严格控制污染物排放量，将产生的各项污染物按报告中提出的污染治理措施进行治理，加强污染治理设施和设备的运行管理，则项目运营期对周围环境不会产生明显的影响。</w:t>
            </w:r>
          </w:p>
          <w:p w14:paraId="2CC98975">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color w:val="auto"/>
                <w:sz w:val="24"/>
                <w:highlight w:val="none"/>
              </w:rPr>
              <w:t>因此，从环境保护角度分析，本项目的建设是可行的。</w:t>
            </w:r>
          </w:p>
        </w:tc>
      </w:tr>
    </w:tbl>
    <w:p w14:paraId="7E44FB50">
      <w:pPr>
        <w:rPr>
          <w:rFonts w:hint="default" w:ascii="Times New Roman" w:hAnsi="Times New Roman" w:eastAsia="宋体" w:cs="Times New Roman"/>
          <w:color w:val="auto"/>
          <w:highlight w:val="none"/>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6EBE74E2">
      <w:pPr>
        <w:pStyle w:val="28"/>
        <w:adjustRightInd w:val="0"/>
        <w:snapToGrid w:val="0"/>
        <w:spacing w:before="0" w:beforeAutospacing="0" w:after="0" w:afterAutospacing="0" w:line="360" w:lineRule="auto"/>
        <w:outlineLvl w:val="0"/>
        <w:rPr>
          <w:rFonts w:hint="default" w:ascii="Times New Roman" w:hAnsi="Times New Roman" w:eastAsia="宋体" w:cs="Times New Roman"/>
          <w:snapToGrid w:val="0"/>
          <w:color w:val="auto"/>
          <w:sz w:val="32"/>
          <w:szCs w:val="32"/>
          <w:highlight w:val="none"/>
        </w:rPr>
      </w:pPr>
      <w:r>
        <w:rPr>
          <w:rFonts w:hint="default" w:ascii="Times New Roman" w:hAnsi="Times New Roman" w:eastAsia="宋体" w:cs="Times New Roman"/>
          <w:snapToGrid w:val="0"/>
          <w:color w:val="auto"/>
          <w:sz w:val="32"/>
          <w:szCs w:val="32"/>
          <w:highlight w:val="none"/>
        </w:rPr>
        <w:t>附表</w:t>
      </w:r>
    </w:p>
    <w:p w14:paraId="0D274298">
      <w:pPr>
        <w:bidi w:val="0"/>
        <w:spacing w:line="240" w:lineRule="auto"/>
        <w:jc w:val="center"/>
        <w:rPr>
          <w:rFonts w:hint="default" w:ascii="Times New Roman" w:hAnsi="Times New Roman" w:eastAsia="宋体" w:cs="Times New Roman"/>
          <w:b/>
          <w:bCs/>
          <w:color w:val="auto"/>
          <w:sz w:val="36"/>
          <w:szCs w:val="44"/>
          <w:highlight w:val="none"/>
        </w:rPr>
      </w:pPr>
      <w:r>
        <w:rPr>
          <w:rFonts w:hint="default" w:ascii="Times New Roman" w:hAnsi="Times New Roman" w:eastAsia="宋体" w:cs="Times New Roman"/>
          <w:b/>
          <w:bCs/>
          <w:color w:val="auto"/>
          <w:sz w:val="36"/>
          <w:szCs w:val="44"/>
          <w:highlight w:val="none"/>
        </w:rPr>
        <w:t>建设项目污染物排放量汇总表</w:t>
      </w:r>
    </w:p>
    <w:tbl>
      <w:tblPr>
        <w:tblStyle w:val="31"/>
        <w:tblW w:w="1415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97"/>
        <w:gridCol w:w="1600"/>
        <w:gridCol w:w="1535"/>
        <w:gridCol w:w="1283"/>
        <w:gridCol w:w="1710"/>
        <w:gridCol w:w="1567"/>
        <w:gridCol w:w="1772"/>
        <w:gridCol w:w="1836"/>
        <w:gridCol w:w="134"/>
        <w:gridCol w:w="1122"/>
      </w:tblGrid>
      <w:tr w14:paraId="362F1E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74" w:hRule="atLeast"/>
          <w:jc w:val="center"/>
        </w:trPr>
        <w:tc>
          <w:tcPr>
            <w:tcW w:w="1597" w:type="dxa"/>
            <w:tcBorders>
              <w:tl2br w:val="single" w:color="auto" w:sz="4" w:space="0"/>
            </w:tcBorders>
            <w:noWrap w:val="0"/>
            <w:tcMar>
              <w:left w:w="28" w:type="dxa"/>
              <w:right w:w="28" w:type="dxa"/>
            </w:tcMar>
            <w:vAlign w:val="center"/>
          </w:tcPr>
          <w:p w14:paraId="60396EE5">
            <w:pPr>
              <w:pStyle w:val="54"/>
              <w:keepNext w:val="0"/>
              <w:keepLines w:val="0"/>
              <w:suppressLineNumbers w:val="0"/>
              <w:spacing w:before="0" w:beforeLines="0" w:beforeAutospacing="0" w:after="0" w:afterLines="0" w:afterAutospacing="0" w:line="240" w:lineRule="auto"/>
              <w:ind w:left="0" w:right="0"/>
              <w:jc w:val="right"/>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项目</w:t>
            </w:r>
          </w:p>
          <w:p w14:paraId="58A9F984">
            <w:pPr>
              <w:pStyle w:val="54"/>
              <w:keepNext w:val="0"/>
              <w:keepLines w:val="0"/>
              <w:suppressLineNumbers w:val="0"/>
              <w:spacing w:before="0" w:beforeLines="0" w:beforeAutospacing="0" w:after="0" w:afterLines="0" w:afterAutospacing="0" w:line="240" w:lineRule="auto"/>
              <w:ind w:left="0" w:right="0"/>
              <w:jc w:val="left"/>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分类</w:t>
            </w:r>
          </w:p>
        </w:tc>
        <w:tc>
          <w:tcPr>
            <w:tcW w:w="1600" w:type="dxa"/>
            <w:noWrap w:val="0"/>
            <w:tcMar>
              <w:left w:w="28" w:type="dxa"/>
              <w:right w:w="28" w:type="dxa"/>
            </w:tcMar>
            <w:vAlign w:val="center"/>
          </w:tcPr>
          <w:p w14:paraId="641882B4">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污染物名称</w:t>
            </w:r>
          </w:p>
        </w:tc>
        <w:tc>
          <w:tcPr>
            <w:tcW w:w="1535" w:type="dxa"/>
            <w:noWrap w:val="0"/>
            <w:tcMar>
              <w:left w:w="28" w:type="dxa"/>
              <w:right w:w="28" w:type="dxa"/>
            </w:tcMar>
            <w:vAlign w:val="center"/>
          </w:tcPr>
          <w:p w14:paraId="4DE165EB">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现有工程</w:t>
            </w:r>
          </w:p>
          <w:p w14:paraId="4A2E6413">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排放量（固体废物产生量）</w:t>
            </w:r>
            <w:r>
              <w:rPr>
                <w:rFonts w:hint="default" w:ascii="Times New Roman" w:hAnsi="Times New Roman" w:eastAsia="宋体" w:cs="Times New Roman"/>
                <w:snapToGrid w:val="0"/>
                <w:color w:val="auto"/>
                <w:spacing w:val="-6"/>
                <w:kern w:val="21"/>
                <w:sz w:val="21"/>
                <w:szCs w:val="21"/>
                <w:highlight w:val="none"/>
                <w:lang w:val="en-US" w:eastAsia="zh-CN"/>
              </w:rPr>
              <w:fldChar w:fldCharType="begin"/>
            </w:r>
            <w:r>
              <w:rPr>
                <w:rFonts w:hint="default" w:ascii="Times New Roman" w:hAnsi="Times New Roman" w:eastAsia="宋体" w:cs="Times New Roman"/>
                <w:snapToGrid w:val="0"/>
                <w:color w:val="auto"/>
                <w:spacing w:val="-6"/>
                <w:kern w:val="21"/>
                <w:sz w:val="21"/>
                <w:szCs w:val="21"/>
                <w:highlight w:val="none"/>
                <w:lang w:val="en-US" w:eastAsia="zh-CN"/>
              </w:rPr>
              <w:instrText xml:space="preserve"> = 1 \* GB3 \* MERGEFORMAT </w:instrText>
            </w:r>
            <w:r>
              <w:rPr>
                <w:rFonts w:hint="default" w:ascii="Times New Roman" w:hAnsi="Times New Roman" w:eastAsia="宋体" w:cs="Times New Roman"/>
                <w:snapToGrid w:val="0"/>
                <w:color w:val="auto"/>
                <w:spacing w:val="-6"/>
                <w:kern w:val="21"/>
                <w:sz w:val="21"/>
                <w:szCs w:val="21"/>
                <w:highlight w:val="none"/>
                <w:lang w:val="en-US" w:eastAsia="zh-CN"/>
              </w:rPr>
              <w:fldChar w:fldCharType="separate"/>
            </w:r>
            <w:r>
              <w:rPr>
                <w:rFonts w:hint="default" w:ascii="Times New Roman" w:hAnsi="Times New Roman" w:eastAsia="宋体" w:cs="Times New Roman"/>
                <w:color w:val="auto"/>
                <w:kern w:val="2"/>
                <w:sz w:val="21"/>
                <w:szCs w:val="21"/>
                <w:highlight w:val="none"/>
                <w:lang w:val="en-US" w:eastAsia="zh-CN"/>
              </w:rPr>
              <w:t>①</w:t>
            </w:r>
            <w:r>
              <w:rPr>
                <w:rFonts w:hint="default" w:ascii="Times New Roman" w:hAnsi="Times New Roman" w:eastAsia="宋体" w:cs="Times New Roman"/>
                <w:snapToGrid w:val="0"/>
                <w:color w:val="auto"/>
                <w:spacing w:val="-6"/>
                <w:kern w:val="21"/>
                <w:sz w:val="21"/>
                <w:szCs w:val="21"/>
                <w:highlight w:val="none"/>
                <w:lang w:val="en-US" w:eastAsia="zh-CN"/>
              </w:rPr>
              <w:fldChar w:fldCharType="end"/>
            </w:r>
          </w:p>
        </w:tc>
        <w:tc>
          <w:tcPr>
            <w:tcW w:w="1283" w:type="dxa"/>
            <w:noWrap w:val="0"/>
            <w:tcMar>
              <w:left w:w="28" w:type="dxa"/>
              <w:right w:w="28" w:type="dxa"/>
            </w:tcMar>
            <w:vAlign w:val="center"/>
          </w:tcPr>
          <w:p w14:paraId="045FC631">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现有工程</w:t>
            </w:r>
          </w:p>
          <w:p w14:paraId="582A92C0">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许可排放量</w:t>
            </w:r>
          </w:p>
          <w:p w14:paraId="1E4A57D9">
            <w:pPr>
              <w:pStyle w:val="54"/>
              <w:keepNext w:val="0"/>
              <w:keepLines w:val="0"/>
              <w:suppressLineNumbers w:val="0"/>
              <w:spacing w:before="0" w:beforeLines="0" w:beforeAutospacing="0" w:after="0" w:afterLines="0" w:afterAutospacing="0"/>
              <w:ind w:left="0" w:right="0"/>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fldChar w:fldCharType="begin"/>
            </w:r>
            <w:r>
              <w:rPr>
                <w:rFonts w:hint="default" w:ascii="Times New Roman" w:hAnsi="Times New Roman" w:eastAsia="宋体" w:cs="Times New Roman"/>
                <w:snapToGrid w:val="0"/>
                <w:color w:val="auto"/>
                <w:spacing w:val="-6"/>
                <w:kern w:val="21"/>
                <w:sz w:val="21"/>
                <w:szCs w:val="21"/>
                <w:highlight w:val="none"/>
                <w:lang w:val="en-US" w:eastAsia="zh-CN"/>
              </w:rPr>
              <w:instrText xml:space="preserve"> = 2 \* GB3 \* MERGEFORMAT </w:instrText>
            </w:r>
            <w:r>
              <w:rPr>
                <w:rFonts w:hint="default" w:ascii="Times New Roman" w:hAnsi="Times New Roman" w:eastAsia="宋体" w:cs="Times New Roman"/>
                <w:snapToGrid w:val="0"/>
                <w:color w:val="auto"/>
                <w:spacing w:val="-6"/>
                <w:kern w:val="21"/>
                <w:sz w:val="21"/>
                <w:szCs w:val="21"/>
                <w:highlight w:val="none"/>
                <w:lang w:val="en-US" w:eastAsia="zh-CN"/>
              </w:rPr>
              <w:fldChar w:fldCharType="separate"/>
            </w:r>
            <w:r>
              <w:rPr>
                <w:rFonts w:hint="default" w:ascii="Times New Roman" w:hAnsi="Times New Roman" w:eastAsia="宋体" w:cs="Times New Roman"/>
                <w:snapToGrid w:val="0"/>
                <w:color w:val="auto"/>
                <w:spacing w:val="-6"/>
                <w:kern w:val="21"/>
                <w:sz w:val="21"/>
                <w:szCs w:val="21"/>
                <w:highlight w:val="none"/>
                <w:lang w:val="en-US" w:eastAsia="zh-CN"/>
              </w:rPr>
              <w:t>②</w:t>
            </w:r>
            <w:r>
              <w:rPr>
                <w:rFonts w:hint="default" w:ascii="Times New Roman" w:hAnsi="Times New Roman" w:eastAsia="宋体" w:cs="Times New Roman"/>
                <w:snapToGrid w:val="0"/>
                <w:color w:val="auto"/>
                <w:spacing w:val="-6"/>
                <w:kern w:val="21"/>
                <w:sz w:val="21"/>
                <w:szCs w:val="21"/>
                <w:highlight w:val="none"/>
                <w:lang w:val="en-US" w:eastAsia="zh-CN"/>
              </w:rPr>
              <w:fldChar w:fldCharType="end"/>
            </w:r>
          </w:p>
        </w:tc>
        <w:tc>
          <w:tcPr>
            <w:tcW w:w="1710" w:type="dxa"/>
            <w:noWrap w:val="0"/>
            <w:tcMar>
              <w:left w:w="28" w:type="dxa"/>
              <w:right w:w="28" w:type="dxa"/>
            </w:tcMar>
            <w:vAlign w:val="center"/>
          </w:tcPr>
          <w:p w14:paraId="029FCEAD">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在建工程</w:t>
            </w:r>
          </w:p>
          <w:p w14:paraId="45B23E96">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排放量（固体废物产生量）</w:t>
            </w:r>
            <w:r>
              <w:rPr>
                <w:rFonts w:hint="default" w:ascii="Times New Roman" w:hAnsi="Times New Roman" w:eastAsia="宋体" w:cs="Times New Roman"/>
                <w:snapToGrid w:val="0"/>
                <w:color w:val="auto"/>
                <w:spacing w:val="-6"/>
                <w:kern w:val="21"/>
                <w:sz w:val="21"/>
                <w:szCs w:val="21"/>
                <w:highlight w:val="none"/>
                <w:lang w:val="en-US" w:eastAsia="zh-CN"/>
              </w:rPr>
              <w:fldChar w:fldCharType="begin"/>
            </w:r>
            <w:r>
              <w:rPr>
                <w:rFonts w:hint="default" w:ascii="Times New Roman" w:hAnsi="Times New Roman" w:eastAsia="宋体" w:cs="Times New Roman"/>
                <w:snapToGrid w:val="0"/>
                <w:color w:val="auto"/>
                <w:spacing w:val="-6"/>
                <w:kern w:val="21"/>
                <w:sz w:val="21"/>
                <w:szCs w:val="21"/>
                <w:highlight w:val="none"/>
                <w:lang w:val="en-US" w:eastAsia="zh-CN"/>
              </w:rPr>
              <w:instrText xml:space="preserve"> = 3 \* GB3 \* MERGEFORMAT </w:instrText>
            </w:r>
            <w:r>
              <w:rPr>
                <w:rFonts w:hint="default" w:ascii="Times New Roman" w:hAnsi="Times New Roman" w:eastAsia="宋体" w:cs="Times New Roman"/>
                <w:snapToGrid w:val="0"/>
                <w:color w:val="auto"/>
                <w:spacing w:val="-6"/>
                <w:kern w:val="21"/>
                <w:sz w:val="21"/>
                <w:szCs w:val="21"/>
                <w:highlight w:val="none"/>
                <w:lang w:val="en-US" w:eastAsia="zh-CN"/>
              </w:rPr>
              <w:fldChar w:fldCharType="separate"/>
            </w:r>
            <w:r>
              <w:rPr>
                <w:rFonts w:hint="default" w:ascii="Times New Roman" w:hAnsi="Times New Roman" w:eastAsia="宋体" w:cs="Times New Roman"/>
                <w:color w:val="auto"/>
                <w:kern w:val="2"/>
                <w:sz w:val="21"/>
                <w:szCs w:val="21"/>
                <w:highlight w:val="none"/>
                <w:lang w:val="en-US" w:eastAsia="zh-CN"/>
              </w:rPr>
              <w:t>③</w:t>
            </w:r>
            <w:r>
              <w:rPr>
                <w:rFonts w:hint="default" w:ascii="Times New Roman" w:hAnsi="Times New Roman" w:eastAsia="宋体" w:cs="Times New Roman"/>
                <w:snapToGrid w:val="0"/>
                <w:color w:val="auto"/>
                <w:spacing w:val="-6"/>
                <w:kern w:val="21"/>
                <w:sz w:val="21"/>
                <w:szCs w:val="21"/>
                <w:highlight w:val="none"/>
                <w:lang w:val="en-US" w:eastAsia="zh-CN"/>
              </w:rPr>
              <w:fldChar w:fldCharType="end"/>
            </w:r>
          </w:p>
        </w:tc>
        <w:tc>
          <w:tcPr>
            <w:tcW w:w="1567" w:type="dxa"/>
            <w:noWrap w:val="0"/>
            <w:tcMar>
              <w:left w:w="28" w:type="dxa"/>
              <w:right w:w="28" w:type="dxa"/>
            </w:tcMar>
            <w:vAlign w:val="center"/>
          </w:tcPr>
          <w:p w14:paraId="1D1FBF53">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本项目</w:t>
            </w:r>
          </w:p>
          <w:p w14:paraId="0A00A489">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排放量（固体废物产生量）</w:t>
            </w:r>
            <w:r>
              <w:rPr>
                <w:rFonts w:hint="default" w:ascii="Times New Roman" w:hAnsi="Times New Roman" w:eastAsia="宋体" w:cs="Times New Roman"/>
                <w:snapToGrid w:val="0"/>
                <w:color w:val="auto"/>
                <w:spacing w:val="-6"/>
                <w:kern w:val="21"/>
                <w:sz w:val="21"/>
                <w:szCs w:val="21"/>
                <w:highlight w:val="none"/>
                <w:lang w:val="en-US" w:eastAsia="zh-CN"/>
              </w:rPr>
              <w:fldChar w:fldCharType="begin"/>
            </w:r>
            <w:r>
              <w:rPr>
                <w:rFonts w:hint="default" w:ascii="Times New Roman" w:hAnsi="Times New Roman" w:eastAsia="宋体" w:cs="Times New Roman"/>
                <w:snapToGrid w:val="0"/>
                <w:color w:val="auto"/>
                <w:spacing w:val="-6"/>
                <w:kern w:val="21"/>
                <w:sz w:val="21"/>
                <w:szCs w:val="21"/>
                <w:highlight w:val="none"/>
                <w:lang w:val="en-US" w:eastAsia="zh-CN"/>
              </w:rPr>
              <w:instrText xml:space="preserve"> = 4 \* GB3 \* MERGEFORMAT </w:instrText>
            </w:r>
            <w:r>
              <w:rPr>
                <w:rFonts w:hint="default" w:ascii="Times New Roman" w:hAnsi="Times New Roman" w:eastAsia="宋体" w:cs="Times New Roman"/>
                <w:snapToGrid w:val="0"/>
                <w:color w:val="auto"/>
                <w:spacing w:val="-6"/>
                <w:kern w:val="21"/>
                <w:sz w:val="21"/>
                <w:szCs w:val="21"/>
                <w:highlight w:val="none"/>
                <w:lang w:val="en-US" w:eastAsia="zh-CN"/>
              </w:rPr>
              <w:fldChar w:fldCharType="separate"/>
            </w:r>
            <w:r>
              <w:rPr>
                <w:rFonts w:hint="default" w:ascii="Times New Roman" w:hAnsi="Times New Roman" w:eastAsia="宋体" w:cs="Times New Roman"/>
                <w:color w:val="auto"/>
                <w:kern w:val="2"/>
                <w:sz w:val="21"/>
                <w:szCs w:val="21"/>
                <w:highlight w:val="none"/>
                <w:lang w:val="en-US" w:eastAsia="zh-CN"/>
              </w:rPr>
              <w:t>④</w:t>
            </w:r>
            <w:r>
              <w:rPr>
                <w:rFonts w:hint="default" w:ascii="Times New Roman" w:hAnsi="Times New Roman" w:eastAsia="宋体" w:cs="Times New Roman"/>
                <w:snapToGrid w:val="0"/>
                <w:color w:val="auto"/>
                <w:spacing w:val="-6"/>
                <w:kern w:val="21"/>
                <w:sz w:val="21"/>
                <w:szCs w:val="21"/>
                <w:highlight w:val="none"/>
                <w:lang w:val="en-US" w:eastAsia="zh-CN"/>
              </w:rPr>
              <w:fldChar w:fldCharType="end"/>
            </w:r>
          </w:p>
        </w:tc>
        <w:tc>
          <w:tcPr>
            <w:tcW w:w="1772" w:type="dxa"/>
            <w:noWrap w:val="0"/>
            <w:tcMar>
              <w:left w:w="28" w:type="dxa"/>
              <w:right w:w="28" w:type="dxa"/>
            </w:tcMar>
            <w:vAlign w:val="center"/>
          </w:tcPr>
          <w:p w14:paraId="59553ABD">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spacing w:val="-16"/>
                <w:kern w:val="21"/>
                <w:sz w:val="21"/>
                <w:szCs w:val="21"/>
                <w:highlight w:val="none"/>
                <w:lang w:val="en-US" w:eastAsia="zh-CN"/>
              </w:rPr>
            </w:pPr>
            <w:r>
              <w:rPr>
                <w:rFonts w:hint="default" w:ascii="Times New Roman" w:hAnsi="Times New Roman" w:eastAsia="宋体" w:cs="Times New Roman"/>
                <w:snapToGrid w:val="0"/>
                <w:color w:val="auto"/>
                <w:spacing w:val="-16"/>
                <w:kern w:val="21"/>
                <w:sz w:val="21"/>
                <w:szCs w:val="21"/>
                <w:highlight w:val="none"/>
                <w:lang w:val="en-US" w:eastAsia="zh-CN"/>
              </w:rPr>
              <w:t>以新带老削减量</w:t>
            </w:r>
          </w:p>
          <w:p w14:paraId="3F28B35B">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spacing w:val="-16"/>
                <w:kern w:val="21"/>
                <w:sz w:val="21"/>
                <w:szCs w:val="21"/>
                <w:highlight w:val="none"/>
                <w:lang w:val="en-US" w:eastAsia="zh-CN"/>
              </w:rPr>
            </w:pPr>
            <w:r>
              <w:rPr>
                <w:rFonts w:hint="default" w:ascii="Times New Roman" w:hAnsi="Times New Roman" w:eastAsia="宋体" w:cs="Times New Roman"/>
                <w:snapToGrid w:val="0"/>
                <w:color w:val="auto"/>
                <w:spacing w:val="-16"/>
                <w:kern w:val="21"/>
                <w:sz w:val="21"/>
                <w:szCs w:val="21"/>
                <w:highlight w:val="none"/>
                <w:lang w:val="en-US" w:eastAsia="zh-CN"/>
              </w:rPr>
              <w:t>（新建项目不填）</w:t>
            </w:r>
            <w:r>
              <w:rPr>
                <w:rFonts w:hint="default" w:ascii="Times New Roman" w:hAnsi="Times New Roman" w:eastAsia="宋体" w:cs="Times New Roman"/>
                <w:snapToGrid w:val="0"/>
                <w:color w:val="auto"/>
                <w:spacing w:val="-16"/>
                <w:kern w:val="21"/>
                <w:sz w:val="21"/>
                <w:szCs w:val="21"/>
                <w:highlight w:val="none"/>
                <w:lang w:val="en-US" w:eastAsia="zh-CN"/>
              </w:rPr>
              <w:fldChar w:fldCharType="begin"/>
            </w:r>
            <w:r>
              <w:rPr>
                <w:rFonts w:hint="default" w:ascii="Times New Roman" w:hAnsi="Times New Roman" w:eastAsia="宋体" w:cs="Times New Roman"/>
                <w:snapToGrid w:val="0"/>
                <w:color w:val="auto"/>
                <w:spacing w:val="-16"/>
                <w:kern w:val="21"/>
                <w:sz w:val="21"/>
                <w:szCs w:val="21"/>
                <w:highlight w:val="none"/>
                <w:lang w:val="en-US" w:eastAsia="zh-CN"/>
              </w:rPr>
              <w:instrText xml:space="preserve"> = 5 \* GB3 \* MERGEFORMAT </w:instrText>
            </w:r>
            <w:r>
              <w:rPr>
                <w:rFonts w:hint="default" w:ascii="Times New Roman" w:hAnsi="Times New Roman" w:eastAsia="宋体" w:cs="Times New Roman"/>
                <w:snapToGrid w:val="0"/>
                <w:color w:val="auto"/>
                <w:spacing w:val="-16"/>
                <w:kern w:val="21"/>
                <w:sz w:val="21"/>
                <w:szCs w:val="21"/>
                <w:highlight w:val="none"/>
                <w:lang w:val="en-US" w:eastAsia="zh-CN"/>
              </w:rPr>
              <w:fldChar w:fldCharType="separate"/>
            </w:r>
            <w:r>
              <w:rPr>
                <w:rFonts w:hint="default" w:ascii="Times New Roman" w:hAnsi="Times New Roman" w:eastAsia="宋体" w:cs="Times New Roman"/>
                <w:color w:val="auto"/>
                <w:kern w:val="2"/>
                <w:sz w:val="21"/>
                <w:szCs w:val="21"/>
                <w:highlight w:val="none"/>
                <w:lang w:val="en-US" w:eastAsia="zh-CN"/>
              </w:rPr>
              <w:t>⑤</w:t>
            </w:r>
            <w:r>
              <w:rPr>
                <w:rFonts w:hint="default" w:ascii="Times New Roman" w:hAnsi="Times New Roman" w:eastAsia="宋体" w:cs="Times New Roman"/>
                <w:snapToGrid w:val="0"/>
                <w:color w:val="auto"/>
                <w:spacing w:val="-16"/>
                <w:kern w:val="21"/>
                <w:sz w:val="21"/>
                <w:szCs w:val="21"/>
                <w:highlight w:val="none"/>
                <w:lang w:val="en-US" w:eastAsia="zh-CN"/>
              </w:rPr>
              <w:fldChar w:fldCharType="end"/>
            </w:r>
          </w:p>
        </w:tc>
        <w:tc>
          <w:tcPr>
            <w:tcW w:w="1836" w:type="dxa"/>
            <w:noWrap w:val="0"/>
            <w:tcMar>
              <w:left w:w="28" w:type="dxa"/>
              <w:right w:w="28" w:type="dxa"/>
            </w:tcMar>
            <w:vAlign w:val="center"/>
          </w:tcPr>
          <w:p w14:paraId="22280194">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spacing w:val="-16"/>
                <w:kern w:val="21"/>
                <w:sz w:val="21"/>
                <w:szCs w:val="21"/>
                <w:highlight w:val="none"/>
                <w:lang w:val="en-US" w:eastAsia="zh-CN"/>
              </w:rPr>
            </w:pPr>
            <w:r>
              <w:rPr>
                <w:rFonts w:hint="default" w:ascii="Times New Roman" w:hAnsi="Times New Roman" w:eastAsia="宋体" w:cs="Times New Roman"/>
                <w:snapToGrid w:val="0"/>
                <w:color w:val="auto"/>
                <w:spacing w:val="-16"/>
                <w:kern w:val="21"/>
                <w:sz w:val="21"/>
                <w:szCs w:val="21"/>
                <w:highlight w:val="none"/>
                <w:lang w:val="en-US" w:eastAsia="zh-CN"/>
              </w:rPr>
              <w:t>本项目建成后</w:t>
            </w:r>
          </w:p>
          <w:p w14:paraId="34C2412B">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spacing w:val="-16"/>
                <w:kern w:val="21"/>
                <w:sz w:val="21"/>
                <w:szCs w:val="21"/>
                <w:highlight w:val="none"/>
                <w:lang w:val="en-US" w:eastAsia="zh-CN"/>
              </w:rPr>
            </w:pPr>
            <w:r>
              <w:rPr>
                <w:rFonts w:hint="default" w:ascii="Times New Roman" w:hAnsi="Times New Roman" w:eastAsia="宋体" w:cs="Times New Roman"/>
                <w:snapToGrid w:val="0"/>
                <w:color w:val="auto"/>
                <w:spacing w:val="-16"/>
                <w:kern w:val="21"/>
                <w:sz w:val="21"/>
                <w:szCs w:val="21"/>
                <w:highlight w:val="none"/>
                <w:lang w:val="en-US" w:eastAsia="zh-CN"/>
              </w:rPr>
              <w:t>全厂排放量（固体废物产生量）</w:t>
            </w:r>
            <w:r>
              <w:rPr>
                <w:rFonts w:hint="default" w:ascii="Times New Roman" w:hAnsi="Times New Roman" w:eastAsia="宋体" w:cs="Times New Roman"/>
                <w:snapToGrid w:val="0"/>
                <w:color w:val="auto"/>
                <w:spacing w:val="-16"/>
                <w:kern w:val="21"/>
                <w:sz w:val="21"/>
                <w:szCs w:val="21"/>
                <w:highlight w:val="none"/>
                <w:lang w:val="en-US" w:eastAsia="zh-CN"/>
              </w:rPr>
              <w:fldChar w:fldCharType="begin"/>
            </w:r>
            <w:r>
              <w:rPr>
                <w:rFonts w:hint="default" w:ascii="Times New Roman" w:hAnsi="Times New Roman" w:eastAsia="宋体" w:cs="Times New Roman"/>
                <w:snapToGrid w:val="0"/>
                <w:color w:val="auto"/>
                <w:spacing w:val="-16"/>
                <w:kern w:val="21"/>
                <w:sz w:val="21"/>
                <w:szCs w:val="21"/>
                <w:highlight w:val="none"/>
                <w:lang w:val="en-US" w:eastAsia="zh-CN"/>
              </w:rPr>
              <w:instrText xml:space="preserve"> = 6 \* GB3 \* MERGEFORMAT </w:instrText>
            </w:r>
            <w:r>
              <w:rPr>
                <w:rFonts w:hint="default" w:ascii="Times New Roman" w:hAnsi="Times New Roman" w:eastAsia="宋体" w:cs="Times New Roman"/>
                <w:snapToGrid w:val="0"/>
                <w:color w:val="auto"/>
                <w:spacing w:val="-16"/>
                <w:kern w:val="21"/>
                <w:sz w:val="21"/>
                <w:szCs w:val="21"/>
                <w:highlight w:val="none"/>
                <w:lang w:val="en-US" w:eastAsia="zh-CN"/>
              </w:rPr>
              <w:fldChar w:fldCharType="separate"/>
            </w:r>
            <w:r>
              <w:rPr>
                <w:rFonts w:hint="default" w:ascii="Times New Roman" w:hAnsi="Times New Roman" w:eastAsia="宋体" w:cs="Times New Roman"/>
                <w:color w:val="auto"/>
                <w:kern w:val="2"/>
                <w:sz w:val="21"/>
                <w:szCs w:val="21"/>
                <w:highlight w:val="none"/>
                <w:lang w:val="en-US" w:eastAsia="zh-CN"/>
              </w:rPr>
              <w:t>⑥</w:t>
            </w:r>
            <w:r>
              <w:rPr>
                <w:rFonts w:hint="default" w:ascii="Times New Roman" w:hAnsi="Times New Roman" w:eastAsia="宋体" w:cs="Times New Roman"/>
                <w:snapToGrid w:val="0"/>
                <w:color w:val="auto"/>
                <w:spacing w:val="-16"/>
                <w:kern w:val="21"/>
                <w:sz w:val="21"/>
                <w:szCs w:val="21"/>
                <w:highlight w:val="none"/>
                <w:lang w:val="en-US" w:eastAsia="zh-CN"/>
              </w:rPr>
              <w:fldChar w:fldCharType="end"/>
            </w:r>
          </w:p>
        </w:tc>
        <w:tc>
          <w:tcPr>
            <w:tcW w:w="1256" w:type="dxa"/>
            <w:gridSpan w:val="2"/>
            <w:noWrap w:val="0"/>
            <w:tcMar>
              <w:left w:w="28" w:type="dxa"/>
              <w:right w:w="28" w:type="dxa"/>
            </w:tcMar>
            <w:vAlign w:val="center"/>
          </w:tcPr>
          <w:p w14:paraId="2A5E874C">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变化量</w:t>
            </w:r>
          </w:p>
          <w:p w14:paraId="7D0A4520">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fldChar w:fldCharType="begin"/>
            </w:r>
            <w:r>
              <w:rPr>
                <w:rFonts w:hint="default" w:ascii="Times New Roman" w:hAnsi="Times New Roman" w:eastAsia="宋体" w:cs="Times New Roman"/>
                <w:snapToGrid w:val="0"/>
                <w:color w:val="auto"/>
                <w:spacing w:val="-6"/>
                <w:kern w:val="21"/>
                <w:sz w:val="21"/>
                <w:szCs w:val="21"/>
                <w:highlight w:val="none"/>
                <w:lang w:val="en-US" w:eastAsia="zh-CN"/>
              </w:rPr>
              <w:instrText xml:space="preserve"> = 7 \* GB3 \* MERGEFORMAT </w:instrText>
            </w:r>
            <w:r>
              <w:rPr>
                <w:rFonts w:hint="default" w:ascii="Times New Roman" w:hAnsi="Times New Roman" w:eastAsia="宋体" w:cs="Times New Roman"/>
                <w:snapToGrid w:val="0"/>
                <w:color w:val="auto"/>
                <w:spacing w:val="-6"/>
                <w:kern w:val="21"/>
                <w:sz w:val="21"/>
                <w:szCs w:val="21"/>
                <w:highlight w:val="none"/>
                <w:lang w:val="en-US" w:eastAsia="zh-CN"/>
              </w:rPr>
              <w:fldChar w:fldCharType="separate"/>
            </w:r>
            <w:r>
              <w:rPr>
                <w:rFonts w:hint="default" w:ascii="Times New Roman" w:hAnsi="Times New Roman" w:eastAsia="宋体" w:cs="Times New Roman"/>
                <w:color w:val="auto"/>
                <w:kern w:val="2"/>
                <w:sz w:val="21"/>
                <w:szCs w:val="21"/>
                <w:highlight w:val="none"/>
                <w:lang w:val="en-US" w:eastAsia="zh-CN"/>
              </w:rPr>
              <w:t>⑦</w:t>
            </w:r>
            <w:r>
              <w:rPr>
                <w:rFonts w:hint="default" w:ascii="Times New Roman" w:hAnsi="Times New Roman" w:eastAsia="宋体" w:cs="Times New Roman"/>
                <w:snapToGrid w:val="0"/>
                <w:color w:val="auto"/>
                <w:spacing w:val="-6"/>
                <w:kern w:val="21"/>
                <w:sz w:val="21"/>
                <w:szCs w:val="21"/>
                <w:highlight w:val="none"/>
                <w:lang w:val="en-US" w:eastAsia="zh-CN"/>
              </w:rPr>
              <w:fldChar w:fldCharType="end"/>
            </w:r>
          </w:p>
        </w:tc>
      </w:tr>
      <w:tr w14:paraId="78C9DE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1597" w:type="dxa"/>
            <w:noWrap w:val="0"/>
            <w:vAlign w:val="center"/>
          </w:tcPr>
          <w:p w14:paraId="65F3126F">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snapToGrid w:val="0"/>
                <w:color w:val="auto"/>
                <w:kern w:val="21"/>
                <w:sz w:val="21"/>
                <w:szCs w:val="21"/>
                <w:highlight w:val="none"/>
                <w:lang w:val="en-US" w:eastAsia="zh-CN"/>
              </w:rPr>
              <w:t>废气</w:t>
            </w:r>
          </w:p>
        </w:tc>
        <w:tc>
          <w:tcPr>
            <w:tcW w:w="1600" w:type="dxa"/>
            <w:noWrap w:val="0"/>
            <w:vAlign w:val="center"/>
          </w:tcPr>
          <w:p w14:paraId="08E09193">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snapToGrid w:val="0"/>
                <w:color w:val="auto"/>
                <w:kern w:val="21"/>
                <w:sz w:val="21"/>
                <w:szCs w:val="21"/>
                <w:highlight w:val="none"/>
                <w:lang w:val="en-US" w:eastAsia="zh-CN"/>
              </w:rPr>
              <w:t>VOCs</w:t>
            </w:r>
          </w:p>
        </w:tc>
        <w:tc>
          <w:tcPr>
            <w:tcW w:w="1535" w:type="dxa"/>
            <w:noWrap w:val="0"/>
            <w:vAlign w:val="center"/>
          </w:tcPr>
          <w:p w14:paraId="6E0A9EFB">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283" w:type="dxa"/>
            <w:noWrap w:val="0"/>
            <w:vAlign w:val="center"/>
          </w:tcPr>
          <w:p w14:paraId="5E1ABF9C">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710" w:type="dxa"/>
            <w:noWrap w:val="0"/>
            <w:vAlign w:val="center"/>
          </w:tcPr>
          <w:p w14:paraId="1216B285">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567" w:type="dxa"/>
            <w:noWrap w:val="0"/>
            <w:vAlign w:val="center"/>
          </w:tcPr>
          <w:p w14:paraId="636B0AE7">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r>
              <w:rPr>
                <w:rFonts w:hint="eastAsia" w:ascii="Times New Roman" w:cs="Times New Roman"/>
                <w:snapToGrid w:val="0"/>
                <w:color w:val="auto"/>
                <w:kern w:val="21"/>
                <w:sz w:val="21"/>
                <w:szCs w:val="21"/>
                <w:highlight w:val="none"/>
                <w:lang w:val="en-US" w:eastAsia="zh-CN"/>
              </w:rPr>
              <w:t>0.1668</w:t>
            </w:r>
            <w:r>
              <w:rPr>
                <w:rFonts w:hint="default" w:ascii="Times New Roman" w:hAnsi="Times New Roman" w:eastAsia="宋体" w:cs="Times New Roman"/>
                <w:snapToGrid w:val="0"/>
                <w:color w:val="auto"/>
                <w:kern w:val="21"/>
                <w:sz w:val="21"/>
                <w:szCs w:val="21"/>
                <w:highlight w:val="none"/>
                <w:lang w:val="en-US" w:eastAsia="zh-CN"/>
              </w:rPr>
              <w:t>t/a</w:t>
            </w:r>
          </w:p>
        </w:tc>
        <w:tc>
          <w:tcPr>
            <w:tcW w:w="1772" w:type="dxa"/>
            <w:noWrap w:val="0"/>
            <w:vAlign w:val="center"/>
          </w:tcPr>
          <w:p w14:paraId="7CDD853B">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836" w:type="dxa"/>
            <w:noWrap w:val="0"/>
            <w:vAlign w:val="center"/>
          </w:tcPr>
          <w:p w14:paraId="572A20E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napToGrid w:val="0"/>
                <w:color w:val="auto"/>
                <w:kern w:val="21"/>
                <w:sz w:val="21"/>
                <w:szCs w:val="21"/>
                <w:highlight w:val="none"/>
                <w:lang w:val="en-US" w:eastAsia="zh-CN"/>
              </w:rPr>
            </w:pPr>
            <w:r>
              <w:rPr>
                <w:rStyle w:val="49"/>
                <w:rFonts w:hint="eastAsia" w:cs="Times New Roman"/>
                <w:color w:val="auto"/>
                <w:sz w:val="21"/>
                <w:szCs w:val="21"/>
                <w:highlight w:val="none"/>
                <w:lang w:val="en-US" w:eastAsia="zh-CN" w:bidi="ar"/>
              </w:rPr>
              <w:t>0.1668</w:t>
            </w:r>
            <w:r>
              <w:rPr>
                <w:rStyle w:val="49"/>
                <w:rFonts w:hint="default" w:ascii="Times New Roman" w:hAnsi="Times New Roman" w:eastAsia="宋体" w:cs="Times New Roman"/>
                <w:color w:val="auto"/>
                <w:sz w:val="21"/>
                <w:szCs w:val="21"/>
                <w:highlight w:val="none"/>
                <w:lang w:val="en-US" w:eastAsia="zh-CN" w:bidi="ar"/>
              </w:rPr>
              <w:t>t/a</w:t>
            </w:r>
          </w:p>
        </w:tc>
        <w:tc>
          <w:tcPr>
            <w:tcW w:w="1256" w:type="dxa"/>
            <w:gridSpan w:val="2"/>
            <w:noWrap w:val="0"/>
            <w:vAlign w:val="center"/>
          </w:tcPr>
          <w:p w14:paraId="7310176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cs="Times New Roman"/>
                <w:i w:val="0"/>
                <w:iCs w:val="0"/>
                <w:color w:val="auto"/>
                <w:kern w:val="0"/>
                <w:sz w:val="21"/>
                <w:szCs w:val="21"/>
                <w:highlight w:val="none"/>
                <w:u w:val="none"/>
                <w:lang w:val="en-US" w:eastAsia="zh-CN" w:bidi="ar"/>
              </w:rPr>
              <w:t>0.1668</w:t>
            </w:r>
            <w:r>
              <w:rPr>
                <w:rFonts w:hint="default" w:ascii="Times New Roman" w:hAnsi="Times New Roman" w:eastAsia="宋体" w:cs="Times New Roman"/>
                <w:i w:val="0"/>
                <w:iCs w:val="0"/>
                <w:color w:val="auto"/>
                <w:kern w:val="0"/>
                <w:sz w:val="21"/>
                <w:szCs w:val="21"/>
                <w:highlight w:val="none"/>
                <w:u w:val="none"/>
                <w:lang w:val="en-US" w:eastAsia="zh-CN" w:bidi="ar"/>
              </w:rPr>
              <w:t>t/a</w:t>
            </w:r>
          </w:p>
        </w:tc>
      </w:tr>
      <w:tr w14:paraId="231B1E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1597" w:type="dxa"/>
            <w:vMerge w:val="restart"/>
            <w:noWrap w:val="0"/>
            <w:vAlign w:val="center"/>
          </w:tcPr>
          <w:p w14:paraId="04911D67">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snapToGrid w:val="0"/>
                <w:color w:val="auto"/>
                <w:kern w:val="21"/>
                <w:sz w:val="21"/>
                <w:szCs w:val="21"/>
                <w:highlight w:val="none"/>
                <w:lang w:val="en-US" w:eastAsia="zh-CN"/>
              </w:rPr>
              <w:t>废水</w:t>
            </w:r>
          </w:p>
        </w:tc>
        <w:tc>
          <w:tcPr>
            <w:tcW w:w="1600" w:type="dxa"/>
            <w:noWrap w:val="0"/>
            <w:vAlign w:val="center"/>
          </w:tcPr>
          <w:p w14:paraId="6FA71CB8">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snapToGrid w:val="0"/>
                <w:color w:val="auto"/>
                <w:kern w:val="21"/>
                <w:sz w:val="21"/>
                <w:szCs w:val="21"/>
                <w:highlight w:val="none"/>
                <w:lang w:val="en-US" w:eastAsia="zh-CN"/>
              </w:rPr>
              <w:t>CODcr</w:t>
            </w:r>
          </w:p>
        </w:tc>
        <w:tc>
          <w:tcPr>
            <w:tcW w:w="1535" w:type="dxa"/>
            <w:noWrap w:val="0"/>
            <w:vAlign w:val="center"/>
          </w:tcPr>
          <w:p w14:paraId="5421A063">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283" w:type="dxa"/>
            <w:noWrap w:val="0"/>
            <w:vAlign w:val="center"/>
          </w:tcPr>
          <w:p w14:paraId="682D67B0">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710" w:type="dxa"/>
            <w:noWrap w:val="0"/>
            <w:vAlign w:val="center"/>
          </w:tcPr>
          <w:p w14:paraId="55ABB9A0">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567" w:type="dxa"/>
            <w:noWrap w:val="0"/>
            <w:vAlign w:val="center"/>
          </w:tcPr>
          <w:p w14:paraId="35B2330D">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0.1221 </w:t>
            </w:r>
            <w:r>
              <w:rPr>
                <w:rFonts w:hint="default" w:ascii="Times New Roman" w:hAnsi="Times New Roman" w:eastAsia="宋体" w:cs="Times New Roman"/>
                <w:i w:val="0"/>
                <w:iCs w:val="0"/>
                <w:color w:val="auto"/>
                <w:kern w:val="0"/>
                <w:sz w:val="21"/>
                <w:szCs w:val="21"/>
                <w:highlight w:val="none"/>
                <w:u w:val="none"/>
                <w:lang w:val="en-US" w:eastAsia="zh-CN" w:bidi="ar"/>
              </w:rPr>
              <w:t>t/a</w:t>
            </w:r>
          </w:p>
        </w:tc>
        <w:tc>
          <w:tcPr>
            <w:tcW w:w="1772" w:type="dxa"/>
            <w:noWrap w:val="0"/>
            <w:vAlign w:val="center"/>
          </w:tcPr>
          <w:p w14:paraId="025C8A15">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836" w:type="dxa"/>
            <w:noWrap w:val="0"/>
            <w:vAlign w:val="center"/>
          </w:tcPr>
          <w:p w14:paraId="010E87AA">
            <w:pPr>
              <w:keepNext w:val="0"/>
              <w:keepLines w:val="0"/>
              <w:widowControl/>
              <w:suppressLineNumbers w:val="0"/>
              <w:jc w:val="center"/>
              <w:textAlignment w:val="center"/>
              <w:rPr>
                <w:rFonts w:hint="default" w:ascii="Times New Roman" w:hAnsi="Times New Roman" w:eastAsia="宋体" w:cs="Times New Roman"/>
                <w:b/>
                <w:bCs/>
                <w:snapToGrid w:val="0"/>
                <w:color w:val="auto"/>
                <w:kern w:val="21"/>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0.1221 </w:t>
            </w:r>
            <w:r>
              <w:rPr>
                <w:rFonts w:hint="default" w:ascii="Times New Roman" w:hAnsi="Times New Roman" w:eastAsia="宋体" w:cs="Times New Roman"/>
                <w:i w:val="0"/>
                <w:iCs w:val="0"/>
                <w:color w:val="auto"/>
                <w:kern w:val="0"/>
                <w:sz w:val="21"/>
                <w:szCs w:val="21"/>
                <w:highlight w:val="none"/>
                <w:u w:val="none"/>
                <w:lang w:val="en-US" w:eastAsia="zh-CN" w:bidi="ar"/>
              </w:rPr>
              <w:t>t/a</w:t>
            </w:r>
          </w:p>
        </w:tc>
        <w:tc>
          <w:tcPr>
            <w:tcW w:w="1256" w:type="dxa"/>
            <w:gridSpan w:val="2"/>
            <w:noWrap w:val="0"/>
            <w:vAlign w:val="center"/>
          </w:tcPr>
          <w:p w14:paraId="5B76DAE4">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0.1221 </w:t>
            </w:r>
            <w:r>
              <w:rPr>
                <w:rFonts w:hint="default" w:ascii="Times New Roman" w:hAnsi="Times New Roman" w:eastAsia="宋体" w:cs="Times New Roman"/>
                <w:i w:val="0"/>
                <w:iCs w:val="0"/>
                <w:color w:val="auto"/>
                <w:kern w:val="0"/>
                <w:sz w:val="21"/>
                <w:szCs w:val="21"/>
                <w:highlight w:val="none"/>
                <w:u w:val="none"/>
                <w:lang w:val="en-US" w:eastAsia="zh-CN" w:bidi="ar"/>
              </w:rPr>
              <w:t>t/a</w:t>
            </w:r>
          </w:p>
        </w:tc>
      </w:tr>
      <w:tr w14:paraId="67B28B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1597" w:type="dxa"/>
            <w:vMerge w:val="continue"/>
            <w:noWrap w:val="0"/>
            <w:vAlign w:val="center"/>
          </w:tcPr>
          <w:p w14:paraId="03FE8B7E">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600" w:type="dxa"/>
            <w:noWrap w:val="0"/>
            <w:vAlign w:val="center"/>
          </w:tcPr>
          <w:p w14:paraId="4CBCB0F1">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snapToGrid w:val="0"/>
                <w:color w:val="auto"/>
                <w:kern w:val="21"/>
                <w:sz w:val="21"/>
                <w:szCs w:val="21"/>
                <w:highlight w:val="none"/>
                <w:lang w:val="en-US" w:eastAsia="zh-CN"/>
              </w:rPr>
              <w:t>BOD</w:t>
            </w:r>
            <w:r>
              <w:rPr>
                <w:rFonts w:hint="default" w:ascii="Times New Roman" w:hAnsi="Times New Roman" w:eastAsia="宋体" w:cs="Times New Roman"/>
                <w:snapToGrid w:val="0"/>
                <w:color w:val="auto"/>
                <w:kern w:val="21"/>
                <w:sz w:val="21"/>
                <w:szCs w:val="21"/>
                <w:highlight w:val="none"/>
                <w:vertAlign w:val="subscript"/>
                <w:lang w:val="en-US" w:eastAsia="zh-CN"/>
              </w:rPr>
              <w:t>5</w:t>
            </w:r>
          </w:p>
        </w:tc>
        <w:tc>
          <w:tcPr>
            <w:tcW w:w="1535" w:type="dxa"/>
            <w:noWrap w:val="0"/>
            <w:vAlign w:val="center"/>
          </w:tcPr>
          <w:p w14:paraId="16B14A3D">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283" w:type="dxa"/>
            <w:noWrap w:val="0"/>
            <w:vAlign w:val="center"/>
          </w:tcPr>
          <w:p w14:paraId="7CBF3445">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710" w:type="dxa"/>
            <w:noWrap w:val="0"/>
            <w:vAlign w:val="center"/>
          </w:tcPr>
          <w:p w14:paraId="4FD42A59">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567" w:type="dxa"/>
            <w:noWrap w:val="0"/>
            <w:vAlign w:val="center"/>
          </w:tcPr>
          <w:p w14:paraId="7D7C1A40">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0.0592 </w:t>
            </w:r>
            <w:r>
              <w:rPr>
                <w:rFonts w:hint="default" w:ascii="Times New Roman" w:hAnsi="Times New Roman" w:eastAsia="宋体" w:cs="Times New Roman"/>
                <w:i w:val="0"/>
                <w:iCs w:val="0"/>
                <w:color w:val="auto"/>
                <w:kern w:val="0"/>
                <w:sz w:val="21"/>
                <w:szCs w:val="21"/>
                <w:highlight w:val="none"/>
                <w:u w:val="none"/>
                <w:lang w:val="en-US" w:eastAsia="zh-CN" w:bidi="ar"/>
              </w:rPr>
              <w:t>t/a</w:t>
            </w:r>
          </w:p>
        </w:tc>
        <w:tc>
          <w:tcPr>
            <w:tcW w:w="1772" w:type="dxa"/>
            <w:noWrap w:val="0"/>
            <w:vAlign w:val="center"/>
          </w:tcPr>
          <w:p w14:paraId="0779D19E">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836" w:type="dxa"/>
            <w:noWrap w:val="0"/>
            <w:vAlign w:val="center"/>
          </w:tcPr>
          <w:p w14:paraId="0051E3A8">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0.0592 </w:t>
            </w:r>
            <w:r>
              <w:rPr>
                <w:rFonts w:hint="default" w:ascii="Times New Roman" w:hAnsi="Times New Roman" w:eastAsia="宋体" w:cs="Times New Roman"/>
                <w:i w:val="0"/>
                <w:iCs w:val="0"/>
                <w:color w:val="auto"/>
                <w:kern w:val="0"/>
                <w:sz w:val="21"/>
                <w:szCs w:val="21"/>
                <w:highlight w:val="none"/>
                <w:u w:val="none"/>
                <w:lang w:val="en-US" w:eastAsia="zh-CN" w:bidi="ar"/>
              </w:rPr>
              <w:t>t/a</w:t>
            </w:r>
          </w:p>
        </w:tc>
        <w:tc>
          <w:tcPr>
            <w:tcW w:w="1256" w:type="dxa"/>
            <w:gridSpan w:val="2"/>
            <w:noWrap w:val="0"/>
            <w:vAlign w:val="center"/>
          </w:tcPr>
          <w:p w14:paraId="53338F6C">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0.0592 </w:t>
            </w:r>
            <w:r>
              <w:rPr>
                <w:rFonts w:hint="default" w:ascii="Times New Roman" w:hAnsi="Times New Roman" w:eastAsia="宋体" w:cs="Times New Roman"/>
                <w:i w:val="0"/>
                <w:iCs w:val="0"/>
                <w:color w:val="auto"/>
                <w:kern w:val="0"/>
                <w:sz w:val="21"/>
                <w:szCs w:val="21"/>
                <w:highlight w:val="none"/>
                <w:u w:val="none"/>
                <w:lang w:val="en-US" w:eastAsia="zh-CN" w:bidi="ar"/>
              </w:rPr>
              <w:t>t/a</w:t>
            </w:r>
          </w:p>
        </w:tc>
      </w:tr>
      <w:tr w14:paraId="63DF22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1597" w:type="dxa"/>
            <w:vMerge w:val="continue"/>
            <w:noWrap w:val="0"/>
            <w:vAlign w:val="center"/>
          </w:tcPr>
          <w:p w14:paraId="002BD0FE">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600" w:type="dxa"/>
            <w:noWrap w:val="0"/>
            <w:vAlign w:val="center"/>
          </w:tcPr>
          <w:p w14:paraId="1985E67F">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snapToGrid w:val="0"/>
                <w:color w:val="auto"/>
                <w:kern w:val="21"/>
                <w:sz w:val="21"/>
                <w:szCs w:val="21"/>
                <w:highlight w:val="none"/>
                <w:lang w:val="en-US" w:eastAsia="zh-CN"/>
              </w:rPr>
              <w:t>SS</w:t>
            </w:r>
          </w:p>
        </w:tc>
        <w:tc>
          <w:tcPr>
            <w:tcW w:w="1535" w:type="dxa"/>
            <w:noWrap w:val="0"/>
            <w:vAlign w:val="center"/>
          </w:tcPr>
          <w:p w14:paraId="572646DA">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283" w:type="dxa"/>
            <w:noWrap w:val="0"/>
            <w:vAlign w:val="center"/>
          </w:tcPr>
          <w:p w14:paraId="151642D1">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710" w:type="dxa"/>
            <w:noWrap w:val="0"/>
            <w:vAlign w:val="center"/>
          </w:tcPr>
          <w:p w14:paraId="7619F121">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567" w:type="dxa"/>
            <w:noWrap w:val="0"/>
            <w:vAlign w:val="center"/>
          </w:tcPr>
          <w:p w14:paraId="3165BC69">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0.0882 </w:t>
            </w:r>
            <w:r>
              <w:rPr>
                <w:rFonts w:hint="default" w:ascii="Times New Roman" w:hAnsi="Times New Roman" w:eastAsia="宋体" w:cs="Times New Roman"/>
                <w:i w:val="0"/>
                <w:iCs w:val="0"/>
                <w:color w:val="auto"/>
                <w:kern w:val="0"/>
                <w:sz w:val="21"/>
                <w:szCs w:val="21"/>
                <w:highlight w:val="none"/>
                <w:u w:val="none"/>
                <w:lang w:val="en-US" w:eastAsia="zh-CN" w:bidi="ar"/>
              </w:rPr>
              <w:t>t/a</w:t>
            </w:r>
          </w:p>
        </w:tc>
        <w:tc>
          <w:tcPr>
            <w:tcW w:w="1772" w:type="dxa"/>
            <w:noWrap w:val="0"/>
            <w:vAlign w:val="center"/>
          </w:tcPr>
          <w:p w14:paraId="467F26CA">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836" w:type="dxa"/>
            <w:noWrap w:val="0"/>
            <w:vAlign w:val="center"/>
          </w:tcPr>
          <w:p w14:paraId="52430F8E">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0.0882 </w:t>
            </w:r>
            <w:r>
              <w:rPr>
                <w:rFonts w:hint="default" w:ascii="Times New Roman" w:hAnsi="Times New Roman" w:eastAsia="宋体" w:cs="Times New Roman"/>
                <w:i w:val="0"/>
                <w:iCs w:val="0"/>
                <w:color w:val="auto"/>
                <w:kern w:val="0"/>
                <w:sz w:val="21"/>
                <w:szCs w:val="21"/>
                <w:highlight w:val="none"/>
                <w:u w:val="none"/>
                <w:lang w:val="en-US" w:eastAsia="zh-CN" w:bidi="ar"/>
              </w:rPr>
              <w:t>t/a</w:t>
            </w:r>
          </w:p>
        </w:tc>
        <w:tc>
          <w:tcPr>
            <w:tcW w:w="1256" w:type="dxa"/>
            <w:gridSpan w:val="2"/>
            <w:noWrap w:val="0"/>
            <w:vAlign w:val="center"/>
          </w:tcPr>
          <w:p w14:paraId="180EA35B">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0.0882 </w:t>
            </w:r>
            <w:r>
              <w:rPr>
                <w:rFonts w:hint="default" w:ascii="Times New Roman" w:hAnsi="Times New Roman" w:eastAsia="宋体" w:cs="Times New Roman"/>
                <w:i w:val="0"/>
                <w:iCs w:val="0"/>
                <w:color w:val="auto"/>
                <w:kern w:val="0"/>
                <w:sz w:val="21"/>
                <w:szCs w:val="21"/>
                <w:highlight w:val="none"/>
                <w:u w:val="none"/>
                <w:lang w:val="en-US" w:eastAsia="zh-CN" w:bidi="ar"/>
              </w:rPr>
              <w:t>t/a</w:t>
            </w:r>
          </w:p>
        </w:tc>
      </w:tr>
      <w:tr w14:paraId="22BF98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1597" w:type="dxa"/>
            <w:vMerge w:val="continue"/>
            <w:noWrap w:val="0"/>
            <w:vAlign w:val="center"/>
          </w:tcPr>
          <w:p w14:paraId="5985ABAD">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600" w:type="dxa"/>
            <w:noWrap w:val="0"/>
            <w:vAlign w:val="center"/>
          </w:tcPr>
          <w:p w14:paraId="7F433FE1">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snapToGrid w:val="0"/>
                <w:color w:val="auto"/>
                <w:kern w:val="21"/>
                <w:sz w:val="21"/>
                <w:szCs w:val="21"/>
                <w:highlight w:val="none"/>
                <w:lang w:val="en-US" w:eastAsia="zh-CN"/>
              </w:rPr>
              <w:t>氨氮</w:t>
            </w:r>
          </w:p>
        </w:tc>
        <w:tc>
          <w:tcPr>
            <w:tcW w:w="1535" w:type="dxa"/>
            <w:noWrap w:val="0"/>
            <w:vAlign w:val="center"/>
          </w:tcPr>
          <w:p w14:paraId="70B2638E">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283" w:type="dxa"/>
            <w:noWrap w:val="0"/>
            <w:vAlign w:val="center"/>
          </w:tcPr>
          <w:p w14:paraId="1FA5651C">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710" w:type="dxa"/>
            <w:noWrap w:val="0"/>
            <w:vAlign w:val="center"/>
          </w:tcPr>
          <w:p w14:paraId="495519F9">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567" w:type="dxa"/>
            <w:noWrap w:val="0"/>
            <w:vAlign w:val="center"/>
          </w:tcPr>
          <w:p w14:paraId="0249BBD2">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0.0110 </w:t>
            </w:r>
            <w:r>
              <w:rPr>
                <w:rFonts w:hint="default" w:ascii="Times New Roman" w:hAnsi="Times New Roman" w:eastAsia="宋体" w:cs="Times New Roman"/>
                <w:i w:val="0"/>
                <w:iCs w:val="0"/>
                <w:color w:val="auto"/>
                <w:kern w:val="0"/>
                <w:sz w:val="21"/>
                <w:szCs w:val="21"/>
                <w:highlight w:val="none"/>
                <w:u w:val="none"/>
                <w:lang w:val="en-US" w:eastAsia="zh-CN" w:bidi="ar"/>
              </w:rPr>
              <w:t>t/a</w:t>
            </w:r>
          </w:p>
        </w:tc>
        <w:tc>
          <w:tcPr>
            <w:tcW w:w="1772" w:type="dxa"/>
            <w:noWrap w:val="0"/>
            <w:vAlign w:val="center"/>
          </w:tcPr>
          <w:p w14:paraId="16135A24">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836" w:type="dxa"/>
            <w:noWrap w:val="0"/>
            <w:vAlign w:val="center"/>
          </w:tcPr>
          <w:p w14:paraId="1FE3FCAD">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0.0110 </w:t>
            </w:r>
            <w:r>
              <w:rPr>
                <w:rFonts w:hint="default" w:ascii="Times New Roman" w:hAnsi="Times New Roman" w:eastAsia="宋体" w:cs="Times New Roman"/>
                <w:i w:val="0"/>
                <w:iCs w:val="0"/>
                <w:color w:val="auto"/>
                <w:kern w:val="0"/>
                <w:sz w:val="21"/>
                <w:szCs w:val="21"/>
                <w:highlight w:val="none"/>
                <w:u w:val="none"/>
                <w:lang w:val="en-US" w:eastAsia="zh-CN" w:bidi="ar"/>
              </w:rPr>
              <w:t>t/a</w:t>
            </w:r>
          </w:p>
        </w:tc>
        <w:tc>
          <w:tcPr>
            <w:tcW w:w="1256" w:type="dxa"/>
            <w:gridSpan w:val="2"/>
            <w:noWrap w:val="0"/>
            <w:vAlign w:val="center"/>
          </w:tcPr>
          <w:p w14:paraId="0FB1989D">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0.0110 </w:t>
            </w:r>
            <w:r>
              <w:rPr>
                <w:rFonts w:hint="default" w:ascii="Times New Roman" w:hAnsi="Times New Roman" w:eastAsia="宋体" w:cs="Times New Roman"/>
                <w:i w:val="0"/>
                <w:iCs w:val="0"/>
                <w:color w:val="auto"/>
                <w:kern w:val="0"/>
                <w:sz w:val="21"/>
                <w:szCs w:val="21"/>
                <w:highlight w:val="none"/>
                <w:u w:val="none"/>
                <w:lang w:val="en-US" w:eastAsia="zh-CN" w:bidi="ar"/>
              </w:rPr>
              <w:t>t/a</w:t>
            </w:r>
          </w:p>
        </w:tc>
      </w:tr>
      <w:tr w14:paraId="046B42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1597" w:type="dxa"/>
            <w:vMerge w:val="continue"/>
            <w:noWrap w:val="0"/>
            <w:vAlign w:val="center"/>
          </w:tcPr>
          <w:p w14:paraId="0E1CF48D">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600" w:type="dxa"/>
            <w:noWrap w:val="0"/>
            <w:vAlign w:val="center"/>
          </w:tcPr>
          <w:p w14:paraId="77D45259">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snapToGrid w:val="0"/>
                <w:color w:val="auto"/>
                <w:kern w:val="21"/>
                <w:sz w:val="21"/>
                <w:szCs w:val="21"/>
                <w:highlight w:val="none"/>
                <w:lang w:val="en-US" w:eastAsia="zh-CN"/>
              </w:rPr>
              <w:t>TP</w:t>
            </w:r>
          </w:p>
        </w:tc>
        <w:tc>
          <w:tcPr>
            <w:tcW w:w="1535" w:type="dxa"/>
            <w:noWrap w:val="0"/>
            <w:vAlign w:val="center"/>
          </w:tcPr>
          <w:p w14:paraId="0FA1906D">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283" w:type="dxa"/>
            <w:noWrap w:val="0"/>
            <w:vAlign w:val="center"/>
          </w:tcPr>
          <w:p w14:paraId="478E67D3">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710" w:type="dxa"/>
            <w:noWrap w:val="0"/>
            <w:vAlign w:val="center"/>
          </w:tcPr>
          <w:p w14:paraId="5A86B65C">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567" w:type="dxa"/>
            <w:noWrap w:val="0"/>
            <w:vAlign w:val="center"/>
          </w:tcPr>
          <w:p w14:paraId="6EC39093">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0.0019</w:t>
            </w:r>
            <w:r>
              <w:rPr>
                <w:rFonts w:hint="default" w:ascii="Times New Roman" w:hAnsi="Times New Roman" w:eastAsia="宋体" w:cs="Times New Roman"/>
                <w:i w:val="0"/>
                <w:iCs w:val="0"/>
                <w:color w:val="auto"/>
                <w:kern w:val="0"/>
                <w:sz w:val="21"/>
                <w:szCs w:val="21"/>
                <w:highlight w:val="none"/>
                <w:u w:val="none"/>
                <w:lang w:val="en-US" w:eastAsia="zh-CN" w:bidi="ar"/>
              </w:rPr>
              <w:t>t/a</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1772" w:type="dxa"/>
            <w:noWrap w:val="0"/>
            <w:vAlign w:val="center"/>
          </w:tcPr>
          <w:p w14:paraId="20067B33">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836" w:type="dxa"/>
            <w:noWrap w:val="0"/>
            <w:vAlign w:val="center"/>
          </w:tcPr>
          <w:p w14:paraId="75C153D8">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0.0019</w:t>
            </w:r>
            <w:r>
              <w:rPr>
                <w:rFonts w:hint="default" w:ascii="Times New Roman" w:hAnsi="Times New Roman" w:eastAsia="宋体" w:cs="Times New Roman"/>
                <w:i w:val="0"/>
                <w:iCs w:val="0"/>
                <w:color w:val="auto"/>
                <w:kern w:val="0"/>
                <w:sz w:val="21"/>
                <w:szCs w:val="21"/>
                <w:highlight w:val="none"/>
                <w:u w:val="none"/>
                <w:lang w:val="en-US" w:eastAsia="zh-CN" w:bidi="ar"/>
              </w:rPr>
              <w:t>t/a</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1256" w:type="dxa"/>
            <w:gridSpan w:val="2"/>
            <w:noWrap w:val="0"/>
            <w:vAlign w:val="center"/>
          </w:tcPr>
          <w:p w14:paraId="10353798">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0.0019</w:t>
            </w:r>
            <w:r>
              <w:rPr>
                <w:rFonts w:hint="default" w:ascii="Times New Roman" w:hAnsi="Times New Roman" w:eastAsia="宋体" w:cs="Times New Roman"/>
                <w:i w:val="0"/>
                <w:iCs w:val="0"/>
                <w:color w:val="auto"/>
                <w:kern w:val="0"/>
                <w:sz w:val="21"/>
                <w:szCs w:val="21"/>
                <w:highlight w:val="none"/>
                <w:u w:val="none"/>
                <w:lang w:val="en-US" w:eastAsia="zh-CN" w:bidi="ar"/>
              </w:rPr>
              <w:t>t/a</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0BE48F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1597" w:type="dxa"/>
            <w:vMerge w:val="continue"/>
            <w:noWrap w:val="0"/>
            <w:vAlign w:val="center"/>
          </w:tcPr>
          <w:p w14:paraId="632750DC">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600" w:type="dxa"/>
            <w:noWrap w:val="0"/>
            <w:vAlign w:val="center"/>
          </w:tcPr>
          <w:p w14:paraId="39932A1B">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snapToGrid w:val="0"/>
                <w:color w:val="auto"/>
                <w:kern w:val="21"/>
                <w:sz w:val="21"/>
                <w:szCs w:val="21"/>
                <w:highlight w:val="none"/>
                <w:lang w:val="en-US" w:eastAsia="zh-CN"/>
              </w:rPr>
              <w:t>TN</w:t>
            </w:r>
          </w:p>
        </w:tc>
        <w:tc>
          <w:tcPr>
            <w:tcW w:w="1535" w:type="dxa"/>
            <w:noWrap w:val="0"/>
            <w:vAlign w:val="center"/>
          </w:tcPr>
          <w:p w14:paraId="2350AE33">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283" w:type="dxa"/>
            <w:noWrap w:val="0"/>
            <w:vAlign w:val="center"/>
          </w:tcPr>
          <w:p w14:paraId="24B91C12">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710" w:type="dxa"/>
            <w:noWrap w:val="0"/>
            <w:vAlign w:val="center"/>
          </w:tcPr>
          <w:p w14:paraId="281D6508">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567" w:type="dxa"/>
            <w:noWrap w:val="0"/>
            <w:vAlign w:val="center"/>
          </w:tcPr>
          <w:p w14:paraId="753984E9">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0.0153 </w:t>
            </w:r>
            <w:r>
              <w:rPr>
                <w:rFonts w:hint="default" w:ascii="Times New Roman" w:hAnsi="Times New Roman" w:eastAsia="宋体" w:cs="Times New Roman"/>
                <w:i w:val="0"/>
                <w:iCs w:val="0"/>
                <w:color w:val="auto"/>
                <w:kern w:val="0"/>
                <w:sz w:val="21"/>
                <w:szCs w:val="21"/>
                <w:highlight w:val="none"/>
                <w:u w:val="none"/>
                <w:lang w:val="en-US" w:eastAsia="zh-CN" w:bidi="ar"/>
              </w:rPr>
              <w:t>t/a</w:t>
            </w:r>
          </w:p>
        </w:tc>
        <w:tc>
          <w:tcPr>
            <w:tcW w:w="1772" w:type="dxa"/>
            <w:noWrap w:val="0"/>
            <w:vAlign w:val="center"/>
          </w:tcPr>
          <w:p w14:paraId="2A4727D7">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836" w:type="dxa"/>
            <w:noWrap w:val="0"/>
            <w:vAlign w:val="center"/>
          </w:tcPr>
          <w:p w14:paraId="6AC17AE2">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0.0153 </w:t>
            </w:r>
            <w:r>
              <w:rPr>
                <w:rFonts w:hint="default" w:ascii="Times New Roman" w:hAnsi="Times New Roman" w:eastAsia="宋体" w:cs="Times New Roman"/>
                <w:i w:val="0"/>
                <w:iCs w:val="0"/>
                <w:color w:val="auto"/>
                <w:kern w:val="0"/>
                <w:sz w:val="21"/>
                <w:szCs w:val="21"/>
                <w:highlight w:val="none"/>
                <w:u w:val="none"/>
                <w:lang w:val="en-US" w:eastAsia="zh-CN" w:bidi="ar"/>
              </w:rPr>
              <w:t>t/a</w:t>
            </w:r>
          </w:p>
        </w:tc>
        <w:tc>
          <w:tcPr>
            <w:tcW w:w="1256" w:type="dxa"/>
            <w:gridSpan w:val="2"/>
            <w:noWrap w:val="0"/>
            <w:vAlign w:val="center"/>
          </w:tcPr>
          <w:p w14:paraId="55723965">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0.0153 </w:t>
            </w:r>
            <w:r>
              <w:rPr>
                <w:rFonts w:hint="default" w:ascii="Times New Roman" w:hAnsi="Times New Roman" w:eastAsia="宋体" w:cs="Times New Roman"/>
                <w:i w:val="0"/>
                <w:iCs w:val="0"/>
                <w:color w:val="auto"/>
                <w:kern w:val="0"/>
                <w:sz w:val="21"/>
                <w:szCs w:val="21"/>
                <w:highlight w:val="none"/>
                <w:u w:val="none"/>
                <w:lang w:val="en-US" w:eastAsia="zh-CN" w:bidi="ar"/>
              </w:rPr>
              <w:t>t/a</w:t>
            </w:r>
          </w:p>
        </w:tc>
      </w:tr>
      <w:tr w14:paraId="10B855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1597" w:type="dxa"/>
            <w:vMerge w:val="restart"/>
            <w:noWrap w:val="0"/>
            <w:vAlign w:val="center"/>
          </w:tcPr>
          <w:p w14:paraId="25B96A44">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snapToGrid w:val="0"/>
                <w:color w:val="auto"/>
                <w:kern w:val="21"/>
                <w:sz w:val="21"/>
                <w:szCs w:val="21"/>
                <w:highlight w:val="none"/>
                <w:lang w:val="en-US" w:eastAsia="zh-CN"/>
              </w:rPr>
              <w:t>一般工业</w:t>
            </w:r>
          </w:p>
          <w:p w14:paraId="6E744847">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snapToGrid w:val="0"/>
                <w:color w:val="auto"/>
                <w:kern w:val="21"/>
                <w:sz w:val="21"/>
                <w:szCs w:val="21"/>
                <w:highlight w:val="none"/>
                <w:lang w:val="en-US" w:eastAsia="zh-CN"/>
              </w:rPr>
              <w:t>固体废物</w:t>
            </w:r>
          </w:p>
        </w:tc>
        <w:tc>
          <w:tcPr>
            <w:tcW w:w="1600" w:type="dxa"/>
            <w:noWrap w:val="0"/>
            <w:vAlign w:val="center"/>
          </w:tcPr>
          <w:p w14:paraId="6205D1A5">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r>
              <w:rPr>
                <w:rFonts w:hint="eastAsia" w:ascii="Times New Roman" w:hAnsi="Times New Roman" w:eastAsia="宋体" w:cs="Times New Roman"/>
                <w:snapToGrid w:val="0"/>
                <w:color w:val="auto"/>
                <w:kern w:val="21"/>
                <w:sz w:val="21"/>
                <w:szCs w:val="21"/>
                <w:highlight w:val="none"/>
                <w:lang w:val="en-US" w:eastAsia="zh-CN"/>
              </w:rPr>
              <w:t>纸板边角料</w:t>
            </w:r>
          </w:p>
        </w:tc>
        <w:tc>
          <w:tcPr>
            <w:tcW w:w="1535" w:type="dxa"/>
            <w:noWrap w:val="0"/>
            <w:vAlign w:val="center"/>
          </w:tcPr>
          <w:p w14:paraId="54C8774C">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283" w:type="dxa"/>
            <w:noWrap w:val="0"/>
            <w:vAlign w:val="center"/>
          </w:tcPr>
          <w:p w14:paraId="25686023">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710" w:type="dxa"/>
            <w:noWrap w:val="0"/>
            <w:vAlign w:val="center"/>
          </w:tcPr>
          <w:p w14:paraId="02217329">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567" w:type="dxa"/>
            <w:noWrap w:val="0"/>
            <w:vAlign w:val="center"/>
          </w:tcPr>
          <w:p w14:paraId="59943D53">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r>
              <w:rPr>
                <w:rFonts w:hint="eastAsia" w:ascii="Times New Roman" w:cs="Times New Roman"/>
                <w:snapToGrid w:val="0"/>
                <w:color w:val="auto"/>
                <w:kern w:val="21"/>
                <w:sz w:val="21"/>
                <w:szCs w:val="21"/>
                <w:highlight w:val="none"/>
                <w:lang w:val="en-US" w:eastAsia="zh-CN"/>
              </w:rPr>
              <w:t>5</w:t>
            </w:r>
            <w:r>
              <w:rPr>
                <w:rFonts w:hint="default" w:ascii="Times New Roman" w:hAnsi="Times New Roman" w:eastAsia="宋体" w:cs="Times New Roman"/>
                <w:snapToGrid w:val="0"/>
                <w:color w:val="auto"/>
                <w:kern w:val="21"/>
                <w:sz w:val="21"/>
                <w:szCs w:val="21"/>
                <w:highlight w:val="none"/>
                <w:lang w:val="en-US" w:eastAsia="zh-CN"/>
              </w:rPr>
              <w:t>t/a</w:t>
            </w:r>
          </w:p>
        </w:tc>
        <w:tc>
          <w:tcPr>
            <w:tcW w:w="1772" w:type="dxa"/>
            <w:noWrap w:val="0"/>
            <w:vAlign w:val="center"/>
          </w:tcPr>
          <w:p w14:paraId="78952A52">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836" w:type="dxa"/>
            <w:noWrap w:val="0"/>
            <w:vAlign w:val="center"/>
          </w:tcPr>
          <w:p w14:paraId="641EC02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napToGrid w:val="0"/>
                <w:color w:val="auto"/>
                <w:kern w:val="21"/>
                <w:sz w:val="21"/>
                <w:szCs w:val="21"/>
                <w:highlight w:val="none"/>
                <w:lang w:val="en-US" w:eastAsia="zh-CN"/>
              </w:rPr>
            </w:pPr>
            <w:r>
              <w:rPr>
                <w:rStyle w:val="49"/>
                <w:rFonts w:hint="eastAsia" w:cs="Times New Roman"/>
                <w:color w:val="auto"/>
                <w:sz w:val="21"/>
                <w:szCs w:val="21"/>
                <w:highlight w:val="none"/>
                <w:lang w:val="en-US" w:eastAsia="zh-CN" w:bidi="ar"/>
              </w:rPr>
              <w:t>5</w:t>
            </w:r>
            <w:r>
              <w:rPr>
                <w:rStyle w:val="49"/>
                <w:rFonts w:hint="default" w:ascii="Times New Roman" w:hAnsi="Times New Roman" w:eastAsia="宋体" w:cs="Times New Roman"/>
                <w:color w:val="auto"/>
                <w:sz w:val="21"/>
                <w:szCs w:val="21"/>
                <w:highlight w:val="none"/>
                <w:lang w:val="en-US" w:eastAsia="zh-CN" w:bidi="ar"/>
              </w:rPr>
              <w:t>t/a</w:t>
            </w:r>
          </w:p>
        </w:tc>
        <w:tc>
          <w:tcPr>
            <w:tcW w:w="1256" w:type="dxa"/>
            <w:gridSpan w:val="2"/>
            <w:noWrap w:val="0"/>
            <w:vAlign w:val="center"/>
          </w:tcPr>
          <w:p w14:paraId="5223759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cs="Times New Roman"/>
                <w:i w:val="0"/>
                <w:iCs w:val="0"/>
                <w:color w:val="auto"/>
                <w:kern w:val="0"/>
                <w:sz w:val="21"/>
                <w:szCs w:val="21"/>
                <w:highlight w:val="none"/>
                <w:u w:val="none"/>
                <w:lang w:val="en-US" w:eastAsia="zh-CN" w:bidi="ar"/>
              </w:rPr>
              <w:t>5</w:t>
            </w:r>
            <w:r>
              <w:rPr>
                <w:rFonts w:hint="default" w:ascii="Times New Roman" w:hAnsi="Times New Roman" w:eastAsia="宋体" w:cs="Times New Roman"/>
                <w:i w:val="0"/>
                <w:iCs w:val="0"/>
                <w:color w:val="auto"/>
                <w:kern w:val="0"/>
                <w:sz w:val="21"/>
                <w:szCs w:val="21"/>
                <w:highlight w:val="none"/>
                <w:u w:val="none"/>
                <w:lang w:val="en-US" w:eastAsia="zh-CN" w:bidi="ar"/>
              </w:rPr>
              <w:t>t/a</w:t>
            </w:r>
          </w:p>
        </w:tc>
      </w:tr>
      <w:tr w14:paraId="6B6967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1597" w:type="dxa"/>
            <w:vMerge w:val="continue"/>
            <w:noWrap w:val="0"/>
            <w:vAlign w:val="center"/>
          </w:tcPr>
          <w:p w14:paraId="2CC3BD11">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600" w:type="dxa"/>
            <w:noWrap w:val="0"/>
            <w:vAlign w:val="center"/>
          </w:tcPr>
          <w:p w14:paraId="3E1100FD">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r>
              <w:rPr>
                <w:rFonts w:hint="eastAsia" w:ascii="Times New Roman" w:cs="Times New Roman"/>
                <w:snapToGrid w:val="0"/>
                <w:color w:val="auto"/>
                <w:kern w:val="21"/>
                <w:sz w:val="21"/>
                <w:szCs w:val="21"/>
                <w:highlight w:val="none"/>
                <w:lang w:val="en-US" w:eastAsia="zh-CN"/>
              </w:rPr>
              <w:t>废胶水桶</w:t>
            </w:r>
          </w:p>
        </w:tc>
        <w:tc>
          <w:tcPr>
            <w:tcW w:w="1535" w:type="dxa"/>
            <w:noWrap w:val="0"/>
            <w:vAlign w:val="center"/>
          </w:tcPr>
          <w:p w14:paraId="545BE042">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283" w:type="dxa"/>
            <w:noWrap w:val="0"/>
            <w:vAlign w:val="center"/>
          </w:tcPr>
          <w:p w14:paraId="21423944">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710" w:type="dxa"/>
            <w:noWrap w:val="0"/>
            <w:vAlign w:val="center"/>
          </w:tcPr>
          <w:p w14:paraId="291D66D1">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567" w:type="dxa"/>
            <w:noWrap w:val="0"/>
            <w:vAlign w:val="center"/>
          </w:tcPr>
          <w:p w14:paraId="3E4CFB9E">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snapToGrid w:val="0"/>
                <w:color w:val="auto"/>
                <w:kern w:val="21"/>
                <w:sz w:val="21"/>
                <w:szCs w:val="21"/>
                <w:highlight w:val="none"/>
                <w:lang w:val="en-US" w:eastAsia="zh-CN"/>
              </w:rPr>
              <w:t>0.0</w:t>
            </w:r>
            <w:r>
              <w:rPr>
                <w:rFonts w:hint="eastAsia" w:ascii="Times New Roman" w:cs="Times New Roman"/>
                <w:snapToGrid w:val="0"/>
                <w:color w:val="auto"/>
                <w:kern w:val="21"/>
                <w:sz w:val="21"/>
                <w:szCs w:val="21"/>
                <w:highlight w:val="none"/>
                <w:lang w:val="en-US" w:eastAsia="zh-CN"/>
              </w:rPr>
              <w:t>12</w:t>
            </w:r>
            <w:r>
              <w:rPr>
                <w:rFonts w:hint="default" w:ascii="Times New Roman" w:hAnsi="Times New Roman" w:eastAsia="宋体" w:cs="Times New Roman"/>
                <w:snapToGrid w:val="0"/>
                <w:color w:val="auto"/>
                <w:kern w:val="21"/>
                <w:sz w:val="21"/>
                <w:szCs w:val="21"/>
                <w:highlight w:val="none"/>
                <w:lang w:val="en-US" w:eastAsia="zh-CN"/>
              </w:rPr>
              <w:t>t/a</w:t>
            </w:r>
          </w:p>
        </w:tc>
        <w:tc>
          <w:tcPr>
            <w:tcW w:w="1772" w:type="dxa"/>
            <w:noWrap w:val="0"/>
            <w:vAlign w:val="center"/>
          </w:tcPr>
          <w:p w14:paraId="2456E9BF">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836" w:type="dxa"/>
            <w:noWrap w:val="0"/>
            <w:vAlign w:val="center"/>
          </w:tcPr>
          <w:p w14:paraId="469FF696">
            <w:pPr>
              <w:pStyle w:val="54"/>
              <w:keepNext w:val="0"/>
              <w:keepLines w:val="0"/>
              <w:suppressLineNumbers w:val="0"/>
              <w:spacing w:before="0" w:beforeLines="0" w:beforeAutospacing="0" w:after="0" w:afterLines="0" w:afterAutospacing="0" w:line="240" w:lineRule="auto"/>
              <w:ind w:left="0" w:right="0"/>
              <w:rPr>
                <w:rStyle w:val="49"/>
                <w:rFonts w:hint="default" w:ascii="Times New Roman" w:hAnsi="Times New Roman" w:eastAsia="宋体" w:cs="Times New Roman"/>
                <w:color w:val="auto"/>
                <w:sz w:val="21"/>
                <w:szCs w:val="21"/>
                <w:highlight w:val="none"/>
                <w:lang w:val="en-US" w:eastAsia="zh-CN" w:bidi="ar"/>
              </w:rPr>
            </w:pPr>
            <w:r>
              <w:rPr>
                <w:rFonts w:hint="default" w:ascii="Times New Roman" w:hAnsi="Times New Roman" w:eastAsia="宋体" w:cs="Times New Roman"/>
                <w:snapToGrid w:val="0"/>
                <w:color w:val="auto"/>
                <w:kern w:val="21"/>
                <w:sz w:val="21"/>
                <w:szCs w:val="21"/>
                <w:highlight w:val="none"/>
                <w:lang w:val="en-US" w:eastAsia="zh-CN"/>
              </w:rPr>
              <w:t>0.0</w:t>
            </w:r>
            <w:r>
              <w:rPr>
                <w:rFonts w:hint="eastAsia" w:ascii="Times New Roman" w:cs="Times New Roman"/>
                <w:snapToGrid w:val="0"/>
                <w:color w:val="auto"/>
                <w:kern w:val="21"/>
                <w:sz w:val="21"/>
                <w:szCs w:val="21"/>
                <w:highlight w:val="none"/>
                <w:lang w:val="en-US" w:eastAsia="zh-CN"/>
              </w:rPr>
              <w:t>12</w:t>
            </w:r>
            <w:r>
              <w:rPr>
                <w:rFonts w:hint="default" w:ascii="Times New Roman" w:hAnsi="Times New Roman" w:eastAsia="宋体" w:cs="Times New Roman"/>
                <w:snapToGrid w:val="0"/>
                <w:color w:val="auto"/>
                <w:kern w:val="21"/>
                <w:sz w:val="21"/>
                <w:szCs w:val="21"/>
                <w:highlight w:val="none"/>
                <w:lang w:val="en-US" w:eastAsia="zh-CN"/>
              </w:rPr>
              <w:t>t/a</w:t>
            </w:r>
          </w:p>
        </w:tc>
        <w:tc>
          <w:tcPr>
            <w:tcW w:w="1256" w:type="dxa"/>
            <w:gridSpan w:val="2"/>
            <w:noWrap w:val="0"/>
            <w:vAlign w:val="center"/>
          </w:tcPr>
          <w:p w14:paraId="1F9468AE">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snapToGrid w:val="0"/>
                <w:color w:val="auto"/>
                <w:kern w:val="21"/>
                <w:sz w:val="21"/>
                <w:szCs w:val="21"/>
                <w:highlight w:val="none"/>
                <w:lang w:val="en-US" w:eastAsia="zh-CN"/>
              </w:rPr>
              <w:t>+0.0</w:t>
            </w:r>
            <w:r>
              <w:rPr>
                <w:rFonts w:hint="eastAsia" w:ascii="Times New Roman" w:cs="Times New Roman"/>
                <w:snapToGrid w:val="0"/>
                <w:color w:val="auto"/>
                <w:kern w:val="21"/>
                <w:sz w:val="21"/>
                <w:szCs w:val="21"/>
                <w:highlight w:val="none"/>
                <w:lang w:val="en-US" w:eastAsia="zh-CN"/>
              </w:rPr>
              <w:t>12</w:t>
            </w:r>
            <w:r>
              <w:rPr>
                <w:rFonts w:hint="default" w:ascii="Times New Roman" w:hAnsi="Times New Roman" w:eastAsia="宋体" w:cs="Times New Roman"/>
                <w:snapToGrid w:val="0"/>
                <w:color w:val="auto"/>
                <w:kern w:val="21"/>
                <w:sz w:val="21"/>
                <w:szCs w:val="21"/>
                <w:highlight w:val="none"/>
                <w:lang w:val="en-US" w:eastAsia="zh-CN"/>
              </w:rPr>
              <w:t>t/a</w:t>
            </w:r>
          </w:p>
        </w:tc>
      </w:tr>
      <w:tr w14:paraId="212B11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1597" w:type="dxa"/>
            <w:vMerge w:val="continue"/>
            <w:noWrap w:val="0"/>
            <w:vAlign w:val="center"/>
          </w:tcPr>
          <w:p w14:paraId="46B216D7">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600" w:type="dxa"/>
            <w:noWrap w:val="0"/>
            <w:vAlign w:val="center"/>
          </w:tcPr>
          <w:p w14:paraId="542F9A6D">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r>
              <w:rPr>
                <w:rFonts w:hint="eastAsia" w:ascii="Times New Roman" w:hAnsi="Times New Roman" w:eastAsia="宋体" w:cs="Times New Roman"/>
                <w:snapToGrid w:val="0"/>
                <w:color w:val="auto"/>
                <w:kern w:val="21"/>
                <w:sz w:val="21"/>
                <w:szCs w:val="21"/>
                <w:highlight w:val="none"/>
                <w:lang w:val="en-US" w:eastAsia="zh-CN"/>
              </w:rPr>
              <w:t>淀粉胶废桶</w:t>
            </w:r>
          </w:p>
        </w:tc>
        <w:tc>
          <w:tcPr>
            <w:tcW w:w="1535" w:type="dxa"/>
            <w:noWrap w:val="0"/>
            <w:vAlign w:val="center"/>
          </w:tcPr>
          <w:p w14:paraId="75FD87B8">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283" w:type="dxa"/>
            <w:noWrap w:val="0"/>
            <w:vAlign w:val="center"/>
          </w:tcPr>
          <w:p w14:paraId="7E15C4B6">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710" w:type="dxa"/>
            <w:noWrap w:val="0"/>
            <w:vAlign w:val="center"/>
          </w:tcPr>
          <w:p w14:paraId="6DF4F60F">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567" w:type="dxa"/>
            <w:noWrap w:val="0"/>
            <w:vAlign w:val="center"/>
          </w:tcPr>
          <w:p w14:paraId="52FB2941">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snapToGrid w:val="0"/>
                <w:color w:val="auto"/>
                <w:kern w:val="21"/>
                <w:sz w:val="21"/>
                <w:szCs w:val="21"/>
                <w:highlight w:val="none"/>
                <w:lang w:val="en-US" w:eastAsia="zh-CN"/>
              </w:rPr>
              <w:t>0.</w:t>
            </w:r>
            <w:r>
              <w:rPr>
                <w:rFonts w:hint="eastAsia" w:ascii="Times New Roman" w:cs="Times New Roman"/>
                <w:snapToGrid w:val="0"/>
                <w:color w:val="auto"/>
                <w:kern w:val="21"/>
                <w:sz w:val="21"/>
                <w:szCs w:val="21"/>
                <w:highlight w:val="none"/>
                <w:lang w:val="en-US" w:eastAsia="zh-CN"/>
              </w:rPr>
              <w:t>16</w:t>
            </w:r>
            <w:r>
              <w:rPr>
                <w:rFonts w:hint="default" w:ascii="Times New Roman" w:hAnsi="Times New Roman" w:eastAsia="宋体" w:cs="Times New Roman"/>
                <w:snapToGrid w:val="0"/>
                <w:color w:val="auto"/>
                <w:kern w:val="21"/>
                <w:sz w:val="21"/>
                <w:szCs w:val="21"/>
                <w:highlight w:val="none"/>
                <w:lang w:val="en-US" w:eastAsia="zh-CN"/>
              </w:rPr>
              <w:t>t/a</w:t>
            </w:r>
          </w:p>
        </w:tc>
        <w:tc>
          <w:tcPr>
            <w:tcW w:w="1772" w:type="dxa"/>
            <w:noWrap w:val="0"/>
            <w:vAlign w:val="center"/>
          </w:tcPr>
          <w:p w14:paraId="7DA1A14C">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836" w:type="dxa"/>
            <w:noWrap w:val="0"/>
            <w:vAlign w:val="center"/>
          </w:tcPr>
          <w:p w14:paraId="620E8494">
            <w:pPr>
              <w:pStyle w:val="54"/>
              <w:keepNext w:val="0"/>
              <w:keepLines w:val="0"/>
              <w:suppressLineNumbers w:val="0"/>
              <w:spacing w:before="0" w:beforeLines="0" w:beforeAutospacing="0" w:after="0" w:afterLines="0" w:afterAutospacing="0" w:line="240" w:lineRule="auto"/>
              <w:ind w:left="0" w:right="0"/>
              <w:rPr>
                <w:rStyle w:val="49"/>
                <w:rFonts w:hint="default" w:ascii="Times New Roman" w:hAnsi="Times New Roman" w:eastAsia="宋体" w:cs="Times New Roman"/>
                <w:color w:val="auto"/>
                <w:sz w:val="21"/>
                <w:szCs w:val="21"/>
                <w:highlight w:val="none"/>
                <w:lang w:val="en-US" w:eastAsia="zh-CN" w:bidi="ar"/>
              </w:rPr>
            </w:pPr>
            <w:r>
              <w:rPr>
                <w:rFonts w:hint="default" w:ascii="Times New Roman" w:hAnsi="Times New Roman" w:eastAsia="宋体" w:cs="Times New Roman"/>
                <w:snapToGrid w:val="0"/>
                <w:color w:val="auto"/>
                <w:kern w:val="21"/>
                <w:sz w:val="21"/>
                <w:szCs w:val="21"/>
                <w:highlight w:val="none"/>
                <w:lang w:val="en-US" w:eastAsia="zh-CN"/>
              </w:rPr>
              <w:t>0.</w:t>
            </w:r>
            <w:r>
              <w:rPr>
                <w:rFonts w:hint="eastAsia" w:ascii="Times New Roman" w:cs="Times New Roman"/>
                <w:snapToGrid w:val="0"/>
                <w:color w:val="auto"/>
                <w:kern w:val="21"/>
                <w:sz w:val="21"/>
                <w:szCs w:val="21"/>
                <w:highlight w:val="none"/>
                <w:lang w:val="en-US" w:eastAsia="zh-CN"/>
              </w:rPr>
              <w:t>16</w:t>
            </w:r>
            <w:r>
              <w:rPr>
                <w:rFonts w:hint="default" w:ascii="Times New Roman" w:hAnsi="Times New Roman" w:eastAsia="宋体" w:cs="Times New Roman"/>
                <w:snapToGrid w:val="0"/>
                <w:color w:val="auto"/>
                <w:kern w:val="21"/>
                <w:sz w:val="21"/>
                <w:szCs w:val="21"/>
                <w:highlight w:val="none"/>
                <w:lang w:val="en-US" w:eastAsia="zh-CN"/>
              </w:rPr>
              <w:t>t/a</w:t>
            </w:r>
          </w:p>
        </w:tc>
        <w:tc>
          <w:tcPr>
            <w:tcW w:w="1256" w:type="dxa"/>
            <w:gridSpan w:val="2"/>
            <w:noWrap w:val="0"/>
            <w:vAlign w:val="center"/>
          </w:tcPr>
          <w:p w14:paraId="0546F22D">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snapToGrid w:val="0"/>
                <w:color w:val="auto"/>
                <w:kern w:val="21"/>
                <w:sz w:val="21"/>
                <w:szCs w:val="21"/>
                <w:highlight w:val="none"/>
                <w:lang w:val="en-US" w:eastAsia="zh-CN"/>
              </w:rPr>
              <w:t>+0.</w:t>
            </w:r>
            <w:r>
              <w:rPr>
                <w:rFonts w:hint="eastAsia" w:ascii="Times New Roman" w:cs="Times New Roman"/>
                <w:snapToGrid w:val="0"/>
                <w:color w:val="auto"/>
                <w:kern w:val="21"/>
                <w:sz w:val="21"/>
                <w:szCs w:val="21"/>
                <w:highlight w:val="none"/>
                <w:lang w:val="en-US" w:eastAsia="zh-CN"/>
              </w:rPr>
              <w:t>16</w:t>
            </w:r>
            <w:r>
              <w:rPr>
                <w:rFonts w:hint="default" w:ascii="Times New Roman" w:hAnsi="Times New Roman" w:eastAsia="宋体" w:cs="Times New Roman"/>
                <w:snapToGrid w:val="0"/>
                <w:color w:val="auto"/>
                <w:kern w:val="21"/>
                <w:sz w:val="21"/>
                <w:szCs w:val="21"/>
                <w:highlight w:val="none"/>
                <w:lang w:val="en-US" w:eastAsia="zh-CN"/>
              </w:rPr>
              <w:t>t/a</w:t>
            </w:r>
          </w:p>
        </w:tc>
      </w:tr>
      <w:tr w14:paraId="645FEF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1597" w:type="dxa"/>
            <w:vMerge w:val="continue"/>
            <w:noWrap w:val="0"/>
            <w:vAlign w:val="center"/>
          </w:tcPr>
          <w:p w14:paraId="6CD6FE50">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600" w:type="dxa"/>
            <w:noWrap w:val="0"/>
            <w:vAlign w:val="center"/>
          </w:tcPr>
          <w:p w14:paraId="2F88C666">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r>
              <w:rPr>
                <w:rFonts w:hint="eastAsia" w:ascii="Times New Roman" w:cs="Times New Roman"/>
                <w:snapToGrid w:val="0"/>
                <w:color w:val="auto"/>
                <w:kern w:val="21"/>
                <w:sz w:val="21"/>
                <w:szCs w:val="21"/>
                <w:highlight w:val="none"/>
                <w:lang w:val="en-US" w:eastAsia="zh-CN"/>
              </w:rPr>
              <w:t>废PS版</w:t>
            </w:r>
          </w:p>
        </w:tc>
        <w:tc>
          <w:tcPr>
            <w:tcW w:w="1535" w:type="dxa"/>
            <w:noWrap w:val="0"/>
            <w:vAlign w:val="center"/>
          </w:tcPr>
          <w:p w14:paraId="0038C7F0">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283" w:type="dxa"/>
            <w:noWrap w:val="0"/>
            <w:vAlign w:val="center"/>
          </w:tcPr>
          <w:p w14:paraId="548B9B79">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710" w:type="dxa"/>
            <w:noWrap w:val="0"/>
            <w:vAlign w:val="center"/>
          </w:tcPr>
          <w:p w14:paraId="17CDB989">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567" w:type="dxa"/>
            <w:noWrap w:val="0"/>
            <w:vAlign w:val="center"/>
          </w:tcPr>
          <w:p w14:paraId="533BD069">
            <w:pPr>
              <w:pStyle w:val="54"/>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eastAsia="宋体" w:cs="Times New Roman"/>
                <w:snapToGrid w:val="0"/>
                <w:color w:val="auto"/>
                <w:kern w:val="21"/>
                <w:sz w:val="21"/>
                <w:szCs w:val="21"/>
                <w:highlight w:val="none"/>
                <w:lang w:val="en-US" w:eastAsia="zh-CN" w:bidi="ar-SA"/>
              </w:rPr>
              <w:t>0.02</w:t>
            </w:r>
            <w:r>
              <w:rPr>
                <w:rFonts w:hint="default" w:ascii="Times New Roman" w:hAnsi="Times New Roman" w:eastAsia="宋体" w:cs="Times New Roman"/>
                <w:snapToGrid w:val="0"/>
                <w:color w:val="auto"/>
                <w:kern w:val="21"/>
                <w:sz w:val="21"/>
                <w:szCs w:val="21"/>
                <w:highlight w:val="none"/>
                <w:lang w:val="en-US" w:eastAsia="zh-CN" w:bidi="ar-SA"/>
              </w:rPr>
              <w:t>t/a</w:t>
            </w:r>
          </w:p>
        </w:tc>
        <w:tc>
          <w:tcPr>
            <w:tcW w:w="1772" w:type="dxa"/>
            <w:noWrap w:val="0"/>
            <w:vAlign w:val="center"/>
          </w:tcPr>
          <w:p w14:paraId="3E3AE066">
            <w:pPr>
              <w:pStyle w:val="54"/>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836" w:type="dxa"/>
            <w:noWrap w:val="0"/>
            <w:vAlign w:val="center"/>
          </w:tcPr>
          <w:p w14:paraId="3D518093">
            <w:pPr>
              <w:pStyle w:val="54"/>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eastAsia="宋体" w:cs="Times New Roman"/>
                <w:snapToGrid w:val="0"/>
                <w:color w:val="auto"/>
                <w:kern w:val="21"/>
                <w:sz w:val="21"/>
                <w:szCs w:val="21"/>
                <w:highlight w:val="none"/>
                <w:lang w:val="en-US" w:eastAsia="zh-CN" w:bidi="ar-SA"/>
              </w:rPr>
              <w:t>0.02</w:t>
            </w:r>
            <w:r>
              <w:rPr>
                <w:rFonts w:hint="default" w:ascii="Times New Roman" w:hAnsi="Times New Roman" w:eastAsia="宋体" w:cs="Times New Roman"/>
                <w:snapToGrid w:val="0"/>
                <w:color w:val="auto"/>
                <w:kern w:val="21"/>
                <w:sz w:val="21"/>
                <w:szCs w:val="21"/>
                <w:highlight w:val="none"/>
                <w:lang w:val="en-US" w:eastAsia="zh-CN" w:bidi="ar-SA"/>
              </w:rPr>
              <w:t>t/a</w:t>
            </w:r>
          </w:p>
        </w:tc>
        <w:tc>
          <w:tcPr>
            <w:tcW w:w="1256" w:type="dxa"/>
            <w:gridSpan w:val="2"/>
            <w:noWrap w:val="0"/>
            <w:vAlign w:val="center"/>
          </w:tcPr>
          <w:p w14:paraId="5726520E">
            <w:pPr>
              <w:pStyle w:val="54"/>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w:t>
            </w:r>
            <w:r>
              <w:rPr>
                <w:rFonts w:hint="eastAsia" w:ascii="Times New Roman" w:hAnsi="Times New Roman" w:eastAsia="宋体" w:cs="Times New Roman"/>
                <w:snapToGrid w:val="0"/>
                <w:color w:val="auto"/>
                <w:kern w:val="21"/>
                <w:sz w:val="21"/>
                <w:szCs w:val="21"/>
                <w:highlight w:val="none"/>
                <w:lang w:val="en-US" w:eastAsia="zh-CN" w:bidi="ar-SA"/>
              </w:rPr>
              <w:t>0.02</w:t>
            </w:r>
            <w:r>
              <w:rPr>
                <w:rFonts w:hint="default" w:ascii="Times New Roman" w:hAnsi="Times New Roman" w:eastAsia="宋体" w:cs="Times New Roman"/>
                <w:snapToGrid w:val="0"/>
                <w:color w:val="auto"/>
                <w:kern w:val="21"/>
                <w:sz w:val="21"/>
                <w:szCs w:val="21"/>
                <w:highlight w:val="none"/>
                <w:lang w:val="en-US" w:eastAsia="zh-CN" w:bidi="ar-SA"/>
              </w:rPr>
              <w:t>t/a</w:t>
            </w:r>
          </w:p>
        </w:tc>
      </w:tr>
      <w:tr w14:paraId="41C83A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1597" w:type="dxa"/>
            <w:vMerge w:val="restart"/>
            <w:noWrap w:val="0"/>
            <w:vAlign w:val="center"/>
          </w:tcPr>
          <w:p w14:paraId="4E8FE6E6">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p w14:paraId="7D17A73B">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p w14:paraId="78761870">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p w14:paraId="3D7F4C59">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p w14:paraId="5317F1EC">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p w14:paraId="7FC7159D">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p w14:paraId="39B71446">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p w14:paraId="0C6578DF">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snapToGrid w:val="0"/>
                <w:color w:val="auto"/>
                <w:kern w:val="21"/>
                <w:sz w:val="21"/>
                <w:szCs w:val="21"/>
                <w:highlight w:val="none"/>
                <w:lang w:val="en-US" w:eastAsia="zh-CN"/>
              </w:rPr>
              <w:t>危险废物</w:t>
            </w:r>
          </w:p>
        </w:tc>
        <w:tc>
          <w:tcPr>
            <w:tcW w:w="1600" w:type="dxa"/>
            <w:noWrap w:val="0"/>
            <w:vAlign w:val="center"/>
          </w:tcPr>
          <w:p w14:paraId="4420C6E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snapToGrid w:val="0"/>
                <w:color w:val="auto"/>
                <w:kern w:val="21"/>
                <w:sz w:val="21"/>
                <w:szCs w:val="21"/>
                <w:highlight w:val="none"/>
                <w:lang w:val="en-US" w:eastAsia="zh-CN"/>
              </w:rPr>
            </w:pPr>
            <w:r>
              <w:rPr>
                <w:rFonts w:hint="eastAsia" w:ascii="Times New Roman" w:hAnsi="Times New Roman" w:eastAsia="宋体" w:cs="Times New Roman"/>
                <w:b w:val="0"/>
                <w:bCs w:val="0"/>
                <w:color w:val="auto"/>
                <w:kern w:val="2"/>
                <w:sz w:val="21"/>
                <w:szCs w:val="21"/>
                <w:highlight w:val="none"/>
                <w:lang w:val="en-US" w:eastAsia="zh-CN" w:bidi="ar"/>
              </w:rPr>
              <w:t>大豆油墨废瓶</w:t>
            </w:r>
          </w:p>
        </w:tc>
        <w:tc>
          <w:tcPr>
            <w:tcW w:w="1535" w:type="dxa"/>
            <w:noWrap w:val="0"/>
            <w:vAlign w:val="center"/>
          </w:tcPr>
          <w:p w14:paraId="65FACD2B">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283" w:type="dxa"/>
            <w:noWrap w:val="0"/>
            <w:vAlign w:val="center"/>
          </w:tcPr>
          <w:p w14:paraId="3C18C8C6">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710" w:type="dxa"/>
            <w:noWrap w:val="0"/>
            <w:vAlign w:val="center"/>
          </w:tcPr>
          <w:p w14:paraId="2DBB7312">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567" w:type="dxa"/>
            <w:noWrap w:val="0"/>
            <w:vAlign w:val="center"/>
          </w:tcPr>
          <w:p w14:paraId="750C1605">
            <w:pPr>
              <w:pStyle w:val="54"/>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eastAsia="宋体" w:cs="Times New Roman"/>
                <w:snapToGrid w:val="0"/>
                <w:color w:val="auto"/>
                <w:kern w:val="21"/>
                <w:sz w:val="21"/>
                <w:szCs w:val="21"/>
                <w:highlight w:val="none"/>
                <w:lang w:val="en-US" w:eastAsia="zh-CN" w:bidi="ar-SA"/>
              </w:rPr>
              <w:t>0.</w:t>
            </w:r>
            <w:r>
              <w:rPr>
                <w:rFonts w:hint="eastAsia" w:ascii="Times New Roman" w:cs="Times New Roman"/>
                <w:snapToGrid w:val="0"/>
                <w:color w:val="auto"/>
                <w:kern w:val="21"/>
                <w:sz w:val="21"/>
                <w:szCs w:val="21"/>
                <w:highlight w:val="none"/>
                <w:lang w:val="en-US" w:eastAsia="zh-CN" w:bidi="ar-SA"/>
              </w:rPr>
              <w:t>02</w:t>
            </w:r>
            <w:r>
              <w:rPr>
                <w:rFonts w:hint="default" w:ascii="Times New Roman" w:hAnsi="Times New Roman" w:eastAsia="宋体" w:cs="Times New Roman"/>
                <w:snapToGrid w:val="0"/>
                <w:color w:val="auto"/>
                <w:kern w:val="21"/>
                <w:sz w:val="21"/>
                <w:szCs w:val="21"/>
                <w:highlight w:val="none"/>
                <w:lang w:val="en-US" w:eastAsia="zh-CN" w:bidi="ar-SA"/>
              </w:rPr>
              <w:t>t/a</w:t>
            </w:r>
          </w:p>
        </w:tc>
        <w:tc>
          <w:tcPr>
            <w:tcW w:w="1772" w:type="dxa"/>
            <w:noWrap w:val="0"/>
            <w:vAlign w:val="center"/>
          </w:tcPr>
          <w:p w14:paraId="34B2AEDD">
            <w:pPr>
              <w:pStyle w:val="54"/>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836" w:type="dxa"/>
            <w:noWrap w:val="0"/>
            <w:vAlign w:val="center"/>
          </w:tcPr>
          <w:p w14:paraId="076A1F4F">
            <w:pPr>
              <w:pStyle w:val="54"/>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eastAsia="宋体" w:cs="Times New Roman"/>
                <w:snapToGrid w:val="0"/>
                <w:color w:val="auto"/>
                <w:kern w:val="21"/>
                <w:sz w:val="21"/>
                <w:szCs w:val="21"/>
                <w:highlight w:val="none"/>
                <w:lang w:val="en-US" w:eastAsia="zh-CN" w:bidi="ar-SA"/>
              </w:rPr>
              <w:t>0.</w:t>
            </w:r>
            <w:r>
              <w:rPr>
                <w:rFonts w:hint="eastAsia" w:ascii="Times New Roman" w:cs="Times New Roman"/>
                <w:snapToGrid w:val="0"/>
                <w:color w:val="auto"/>
                <w:kern w:val="21"/>
                <w:sz w:val="21"/>
                <w:szCs w:val="21"/>
                <w:highlight w:val="none"/>
                <w:lang w:val="en-US" w:eastAsia="zh-CN" w:bidi="ar-SA"/>
              </w:rPr>
              <w:t>02</w:t>
            </w:r>
            <w:r>
              <w:rPr>
                <w:rFonts w:hint="default" w:ascii="Times New Roman" w:hAnsi="Times New Roman" w:eastAsia="宋体" w:cs="Times New Roman"/>
                <w:snapToGrid w:val="0"/>
                <w:color w:val="auto"/>
                <w:kern w:val="21"/>
                <w:sz w:val="21"/>
                <w:szCs w:val="21"/>
                <w:highlight w:val="none"/>
                <w:lang w:val="en-US" w:eastAsia="zh-CN" w:bidi="ar-SA"/>
              </w:rPr>
              <w:t>t/a</w:t>
            </w:r>
          </w:p>
        </w:tc>
        <w:tc>
          <w:tcPr>
            <w:tcW w:w="1256" w:type="dxa"/>
            <w:gridSpan w:val="2"/>
            <w:noWrap w:val="0"/>
            <w:vAlign w:val="center"/>
          </w:tcPr>
          <w:p w14:paraId="6EBB8F98">
            <w:pPr>
              <w:pStyle w:val="54"/>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w:t>
            </w:r>
            <w:r>
              <w:rPr>
                <w:rFonts w:hint="eastAsia" w:ascii="Times New Roman" w:hAnsi="Times New Roman" w:eastAsia="宋体" w:cs="Times New Roman"/>
                <w:snapToGrid w:val="0"/>
                <w:color w:val="auto"/>
                <w:kern w:val="21"/>
                <w:sz w:val="21"/>
                <w:szCs w:val="21"/>
                <w:highlight w:val="none"/>
                <w:lang w:val="en-US" w:eastAsia="zh-CN" w:bidi="ar-SA"/>
              </w:rPr>
              <w:t>0.</w:t>
            </w:r>
            <w:r>
              <w:rPr>
                <w:rFonts w:hint="eastAsia" w:ascii="Times New Roman" w:cs="Times New Roman"/>
                <w:snapToGrid w:val="0"/>
                <w:color w:val="auto"/>
                <w:kern w:val="21"/>
                <w:sz w:val="21"/>
                <w:szCs w:val="21"/>
                <w:highlight w:val="none"/>
                <w:lang w:val="en-US" w:eastAsia="zh-CN" w:bidi="ar-SA"/>
              </w:rPr>
              <w:t>02</w:t>
            </w:r>
            <w:r>
              <w:rPr>
                <w:rFonts w:hint="default" w:ascii="Times New Roman" w:hAnsi="Times New Roman" w:eastAsia="宋体" w:cs="Times New Roman"/>
                <w:snapToGrid w:val="0"/>
                <w:color w:val="auto"/>
                <w:kern w:val="21"/>
                <w:sz w:val="21"/>
                <w:szCs w:val="21"/>
                <w:highlight w:val="none"/>
                <w:lang w:val="en-US" w:eastAsia="zh-CN" w:bidi="ar-SA"/>
              </w:rPr>
              <w:t>t/a</w:t>
            </w:r>
          </w:p>
        </w:tc>
      </w:tr>
      <w:tr w14:paraId="6BB5B6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597" w:type="dxa"/>
            <w:vMerge w:val="continue"/>
            <w:noWrap w:val="0"/>
            <w:vAlign w:val="center"/>
          </w:tcPr>
          <w:p w14:paraId="42306A7D">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600" w:type="dxa"/>
            <w:noWrap w:val="0"/>
            <w:vAlign w:val="center"/>
          </w:tcPr>
          <w:p w14:paraId="4C49EBF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snapToGrid w:val="0"/>
                <w:color w:val="auto"/>
                <w:kern w:val="21"/>
                <w:sz w:val="21"/>
                <w:szCs w:val="21"/>
                <w:highlight w:val="none"/>
                <w:lang w:val="en-US" w:eastAsia="zh-CN"/>
              </w:rPr>
            </w:pPr>
            <w:r>
              <w:rPr>
                <w:rFonts w:hint="eastAsia" w:ascii="Times New Roman" w:hAnsi="Times New Roman" w:eastAsia="宋体" w:cs="Times New Roman"/>
                <w:b w:val="0"/>
                <w:bCs w:val="0"/>
                <w:color w:val="auto"/>
                <w:kern w:val="2"/>
                <w:sz w:val="21"/>
                <w:szCs w:val="21"/>
                <w:highlight w:val="none"/>
                <w:lang w:val="en-US" w:eastAsia="zh-CN" w:bidi="ar"/>
              </w:rPr>
              <w:t>水性光油废桶</w:t>
            </w:r>
          </w:p>
        </w:tc>
        <w:tc>
          <w:tcPr>
            <w:tcW w:w="1535" w:type="dxa"/>
            <w:noWrap w:val="0"/>
            <w:vAlign w:val="center"/>
          </w:tcPr>
          <w:p w14:paraId="30F4B79B">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283" w:type="dxa"/>
            <w:noWrap w:val="0"/>
            <w:vAlign w:val="center"/>
          </w:tcPr>
          <w:p w14:paraId="0E491E61">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710" w:type="dxa"/>
            <w:noWrap w:val="0"/>
            <w:vAlign w:val="center"/>
          </w:tcPr>
          <w:p w14:paraId="672D40CB">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567" w:type="dxa"/>
            <w:noWrap w:val="0"/>
            <w:vAlign w:val="center"/>
          </w:tcPr>
          <w:p w14:paraId="14E71015">
            <w:pPr>
              <w:pStyle w:val="54"/>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eastAsia="宋体" w:cs="Times New Roman"/>
                <w:snapToGrid w:val="0"/>
                <w:color w:val="auto"/>
                <w:kern w:val="21"/>
                <w:sz w:val="21"/>
                <w:szCs w:val="21"/>
                <w:highlight w:val="none"/>
                <w:lang w:val="en-US" w:eastAsia="zh-CN" w:bidi="ar-SA"/>
              </w:rPr>
              <w:t>0.01</w:t>
            </w:r>
            <w:r>
              <w:rPr>
                <w:rFonts w:hint="eastAsia" w:ascii="Times New Roman" w:cs="Times New Roman"/>
                <w:snapToGrid w:val="0"/>
                <w:color w:val="auto"/>
                <w:kern w:val="21"/>
                <w:sz w:val="21"/>
                <w:szCs w:val="21"/>
                <w:highlight w:val="none"/>
                <w:lang w:val="en-US" w:eastAsia="zh-CN" w:bidi="ar-SA"/>
              </w:rPr>
              <w:t>6</w:t>
            </w:r>
            <w:r>
              <w:rPr>
                <w:rFonts w:hint="eastAsia" w:ascii="Times New Roman" w:hAnsi="Times New Roman" w:eastAsia="宋体" w:cs="Times New Roman"/>
                <w:snapToGrid w:val="0"/>
                <w:color w:val="auto"/>
                <w:kern w:val="21"/>
                <w:sz w:val="21"/>
                <w:szCs w:val="21"/>
                <w:highlight w:val="none"/>
                <w:lang w:val="en-US" w:eastAsia="zh-CN" w:bidi="ar-SA"/>
              </w:rPr>
              <w:t>t/a</w:t>
            </w:r>
          </w:p>
        </w:tc>
        <w:tc>
          <w:tcPr>
            <w:tcW w:w="1772" w:type="dxa"/>
            <w:noWrap w:val="0"/>
            <w:vAlign w:val="center"/>
          </w:tcPr>
          <w:p w14:paraId="00811299">
            <w:pPr>
              <w:pStyle w:val="54"/>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836" w:type="dxa"/>
            <w:noWrap w:val="0"/>
            <w:vAlign w:val="center"/>
          </w:tcPr>
          <w:p w14:paraId="6DFAB0DC">
            <w:pPr>
              <w:pStyle w:val="54"/>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eastAsia="宋体" w:cs="Times New Roman"/>
                <w:snapToGrid w:val="0"/>
                <w:color w:val="auto"/>
                <w:kern w:val="21"/>
                <w:sz w:val="21"/>
                <w:szCs w:val="21"/>
                <w:highlight w:val="none"/>
                <w:lang w:val="en-US" w:eastAsia="zh-CN" w:bidi="ar-SA"/>
              </w:rPr>
              <w:t>0.01</w:t>
            </w:r>
            <w:r>
              <w:rPr>
                <w:rFonts w:hint="eastAsia" w:ascii="Times New Roman" w:cs="Times New Roman"/>
                <w:snapToGrid w:val="0"/>
                <w:color w:val="auto"/>
                <w:kern w:val="21"/>
                <w:sz w:val="21"/>
                <w:szCs w:val="21"/>
                <w:highlight w:val="none"/>
                <w:lang w:val="en-US" w:eastAsia="zh-CN" w:bidi="ar-SA"/>
              </w:rPr>
              <w:t>6</w:t>
            </w:r>
            <w:r>
              <w:rPr>
                <w:rFonts w:hint="eastAsia" w:ascii="Times New Roman" w:hAnsi="Times New Roman" w:eastAsia="宋体" w:cs="Times New Roman"/>
                <w:snapToGrid w:val="0"/>
                <w:color w:val="auto"/>
                <w:kern w:val="21"/>
                <w:sz w:val="21"/>
                <w:szCs w:val="21"/>
                <w:highlight w:val="none"/>
                <w:lang w:val="en-US" w:eastAsia="zh-CN" w:bidi="ar-SA"/>
              </w:rPr>
              <w:t>t/a</w:t>
            </w:r>
          </w:p>
        </w:tc>
        <w:tc>
          <w:tcPr>
            <w:tcW w:w="1256" w:type="dxa"/>
            <w:gridSpan w:val="2"/>
            <w:noWrap w:val="0"/>
            <w:vAlign w:val="center"/>
          </w:tcPr>
          <w:p w14:paraId="4B5E91EA">
            <w:pPr>
              <w:pStyle w:val="54"/>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w:t>
            </w:r>
            <w:r>
              <w:rPr>
                <w:rFonts w:hint="eastAsia" w:ascii="Times New Roman" w:hAnsi="Times New Roman" w:eastAsia="宋体" w:cs="Times New Roman"/>
                <w:snapToGrid w:val="0"/>
                <w:color w:val="auto"/>
                <w:kern w:val="21"/>
                <w:sz w:val="21"/>
                <w:szCs w:val="21"/>
                <w:highlight w:val="none"/>
                <w:lang w:val="en-US" w:eastAsia="zh-CN" w:bidi="ar-SA"/>
              </w:rPr>
              <w:t>0.01</w:t>
            </w:r>
            <w:r>
              <w:rPr>
                <w:rFonts w:hint="eastAsia" w:ascii="Times New Roman" w:cs="Times New Roman"/>
                <w:snapToGrid w:val="0"/>
                <w:color w:val="auto"/>
                <w:kern w:val="21"/>
                <w:sz w:val="21"/>
                <w:szCs w:val="21"/>
                <w:highlight w:val="none"/>
                <w:lang w:val="en-US" w:eastAsia="zh-CN" w:bidi="ar-SA"/>
              </w:rPr>
              <w:t>6</w:t>
            </w:r>
            <w:r>
              <w:rPr>
                <w:rFonts w:hint="eastAsia" w:ascii="Times New Roman" w:hAnsi="Times New Roman" w:eastAsia="宋体" w:cs="Times New Roman"/>
                <w:snapToGrid w:val="0"/>
                <w:color w:val="auto"/>
                <w:kern w:val="21"/>
                <w:sz w:val="21"/>
                <w:szCs w:val="21"/>
                <w:highlight w:val="none"/>
                <w:lang w:val="en-US" w:eastAsia="zh-CN" w:bidi="ar-SA"/>
              </w:rPr>
              <w:t>t/a</w:t>
            </w:r>
          </w:p>
        </w:tc>
      </w:tr>
      <w:tr w14:paraId="128521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597" w:type="dxa"/>
            <w:vMerge w:val="continue"/>
            <w:noWrap w:val="0"/>
            <w:vAlign w:val="center"/>
          </w:tcPr>
          <w:p w14:paraId="4AF7E9DE">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600" w:type="dxa"/>
            <w:noWrap w:val="0"/>
            <w:vAlign w:val="center"/>
          </w:tcPr>
          <w:p w14:paraId="52DA108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snapToGrid w:val="0"/>
                <w:color w:val="auto"/>
                <w:kern w:val="21"/>
                <w:sz w:val="21"/>
                <w:szCs w:val="21"/>
                <w:highlight w:val="none"/>
                <w:lang w:val="en-US" w:eastAsia="zh-CN"/>
              </w:rPr>
            </w:pPr>
            <w:r>
              <w:rPr>
                <w:rFonts w:hint="eastAsia" w:ascii="Times New Roman" w:hAnsi="Times New Roman" w:eastAsia="宋体" w:cs="Times New Roman"/>
                <w:b w:val="0"/>
                <w:bCs w:val="0"/>
                <w:color w:val="auto"/>
                <w:kern w:val="2"/>
                <w:sz w:val="21"/>
                <w:szCs w:val="21"/>
                <w:highlight w:val="none"/>
                <w:lang w:val="en-US" w:eastAsia="zh-CN" w:bidi="ar"/>
              </w:rPr>
              <w:t>清洗剂废桶</w:t>
            </w:r>
          </w:p>
        </w:tc>
        <w:tc>
          <w:tcPr>
            <w:tcW w:w="1535" w:type="dxa"/>
            <w:noWrap w:val="0"/>
            <w:vAlign w:val="center"/>
          </w:tcPr>
          <w:p w14:paraId="6087B76D">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283" w:type="dxa"/>
            <w:noWrap w:val="0"/>
            <w:vAlign w:val="center"/>
          </w:tcPr>
          <w:p w14:paraId="4FB47528">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710" w:type="dxa"/>
            <w:noWrap w:val="0"/>
            <w:vAlign w:val="center"/>
          </w:tcPr>
          <w:p w14:paraId="24B27E43">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567" w:type="dxa"/>
            <w:noWrap w:val="0"/>
            <w:vAlign w:val="center"/>
          </w:tcPr>
          <w:p w14:paraId="3CCE391D">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0.0</w:t>
            </w:r>
            <w:r>
              <w:rPr>
                <w:rFonts w:hint="eastAsia" w:ascii="Times New Roman" w:hAnsi="Times New Roman" w:eastAsia="宋体" w:cs="Times New Roman"/>
                <w:snapToGrid w:val="0"/>
                <w:color w:val="auto"/>
                <w:kern w:val="21"/>
                <w:sz w:val="21"/>
                <w:szCs w:val="21"/>
                <w:highlight w:val="none"/>
                <w:lang w:val="en-US" w:eastAsia="zh-CN" w:bidi="ar-SA"/>
              </w:rPr>
              <w:t>05</w:t>
            </w:r>
            <w:r>
              <w:rPr>
                <w:rFonts w:hint="default" w:ascii="Times New Roman" w:hAnsi="Times New Roman" w:eastAsia="宋体" w:cs="Times New Roman"/>
                <w:snapToGrid w:val="0"/>
                <w:color w:val="auto"/>
                <w:kern w:val="21"/>
                <w:sz w:val="21"/>
                <w:szCs w:val="21"/>
                <w:highlight w:val="none"/>
                <w:lang w:val="en-US" w:eastAsia="zh-CN" w:bidi="ar-SA"/>
              </w:rPr>
              <w:t>t/a</w:t>
            </w:r>
          </w:p>
        </w:tc>
        <w:tc>
          <w:tcPr>
            <w:tcW w:w="1772" w:type="dxa"/>
            <w:noWrap w:val="0"/>
            <w:vAlign w:val="center"/>
          </w:tcPr>
          <w:p w14:paraId="2CB0DEBA">
            <w:pPr>
              <w:pStyle w:val="54"/>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836" w:type="dxa"/>
            <w:noWrap w:val="0"/>
            <w:vAlign w:val="center"/>
          </w:tcPr>
          <w:p w14:paraId="7228E4BB">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0.0</w:t>
            </w:r>
            <w:r>
              <w:rPr>
                <w:rFonts w:hint="eastAsia" w:ascii="Times New Roman" w:hAnsi="Times New Roman" w:eastAsia="宋体" w:cs="Times New Roman"/>
                <w:snapToGrid w:val="0"/>
                <w:color w:val="auto"/>
                <w:kern w:val="21"/>
                <w:sz w:val="21"/>
                <w:szCs w:val="21"/>
                <w:highlight w:val="none"/>
                <w:lang w:val="en-US" w:eastAsia="zh-CN" w:bidi="ar-SA"/>
              </w:rPr>
              <w:t>05</w:t>
            </w:r>
            <w:r>
              <w:rPr>
                <w:rFonts w:hint="default" w:ascii="Times New Roman" w:hAnsi="Times New Roman" w:eastAsia="宋体" w:cs="Times New Roman"/>
                <w:snapToGrid w:val="0"/>
                <w:color w:val="auto"/>
                <w:kern w:val="21"/>
                <w:sz w:val="21"/>
                <w:szCs w:val="21"/>
                <w:highlight w:val="none"/>
                <w:lang w:val="en-US" w:eastAsia="zh-CN" w:bidi="ar-SA"/>
              </w:rPr>
              <w:t>t/a</w:t>
            </w:r>
          </w:p>
        </w:tc>
        <w:tc>
          <w:tcPr>
            <w:tcW w:w="1256" w:type="dxa"/>
            <w:gridSpan w:val="2"/>
            <w:noWrap w:val="0"/>
            <w:vAlign w:val="center"/>
          </w:tcPr>
          <w:p w14:paraId="34A89D8B">
            <w:pPr>
              <w:pStyle w:val="54"/>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+0.0</w:t>
            </w:r>
            <w:r>
              <w:rPr>
                <w:rFonts w:hint="eastAsia" w:ascii="Times New Roman" w:hAnsi="Times New Roman" w:eastAsia="宋体" w:cs="Times New Roman"/>
                <w:snapToGrid w:val="0"/>
                <w:color w:val="auto"/>
                <w:kern w:val="21"/>
                <w:sz w:val="21"/>
                <w:szCs w:val="21"/>
                <w:highlight w:val="none"/>
                <w:lang w:val="en-US" w:eastAsia="zh-CN" w:bidi="ar-SA"/>
              </w:rPr>
              <w:t>05</w:t>
            </w:r>
            <w:r>
              <w:rPr>
                <w:rFonts w:hint="default" w:ascii="Times New Roman" w:hAnsi="Times New Roman" w:eastAsia="宋体" w:cs="Times New Roman"/>
                <w:snapToGrid w:val="0"/>
                <w:color w:val="auto"/>
                <w:kern w:val="21"/>
                <w:sz w:val="21"/>
                <w:szCs w:val="21"/>
                <w:highlight w:val="none"/>
                <w:lang w:val="en-US" w:eastAsia="zh-CN" w:bidi="ar-SA"/>
              </w:rPr>
              <w:t>t/a</w:t>
            </w:r>
          </w:p>
        </w:tc>
      </w:tr>
      <w:tr w14:paraId="06AB37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597" w:type="dxa"/>
            <w:vMerge w:val="continue"/>
            <w:noWrap w:val="0"/>
            <w:vAlign w:val="center"/>
          </w:tcPr>
          <w:p w14:paraId="22B6F0B1">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600" w:type="dxa"/>
            <w:noWrap w:val="0"/>
            <w:vAlign w:val="center"/>
          </w:tcPr>
          <w:p w14:paraId="698296E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snapToGrid w:val="0"/>
                <w:color w:val="auto"/>
                <w:kern w:val="21"/>
                <w:sz w:val="21"/>
                <w:szCs w:val="21"/>
                <w:highlight w:val="none"/>
                <w:lang w:val="en-US" w:eastAsia="zh-CN"/>
              </w:rPr>
            </w:pPr>
            <w:r>
              <w:rPr>
                <w:rFonts w:hint="eastAsia" w:ascii="Times New Roman" w:hAnsi="Times New Roman" w:eastAsia="宋体" w:cs="Times New Roman"/>
                <w:b w:val="0"/>
                <w:bCs w:val="0"/>
                <w:color w:val="auto"/>
                <w:kern w:val="2"/>
                <w:sz w:val="21"/>
                <w:szCs w:val="21"/>
                <w:highlight w:val="none"/>
                <w:lang w:val="en-US" w:eastAsia="zh-CN" w:bidi="ar"/>
              </w:rPr>
              <w:t>润版液废桶</w:t>
            </w:r>
          </w:p>
        </w:tc>
        <w:tc>
          <w:tcPr>
            <w:tcW w:w="1535" w:type="dxa"/>
            <w:noWrap w:val="0"/>
            <w:vAlign w:val="center"/>
          </w:tcPr>
          <w:p w14:paraId="23FBA6F8">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283" w:type="dxa"/>
            <w:noWrap w:val="0"/>
            <w:vAlign w:val="center"/>
          </w:tcPr>
          <w:p w14:paraId="213D115E">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710" w:type="dxa"/>
            <w:noWrap w:val="0"/>
            <w:vAlign w:val="center"/>
          </w:tcPr>
          <w:p w14:paraId="71FAC195">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567" w:type="dxa"/>
            <w:noWrap w:val="0"/>
            <w:vAlign w:val="center"/>
          </w:tcPr>
          <w:p w14:paraId="1307D52C">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0.0</w:t>
            </w:r>
            <w:r>
              <w:rPr>
                <w:rFonts w:hint="eastAsia" w:ascii="Times New Roman" w:hAnsi="Times New Roman" w:eastAsia="宋体" w:cs="Times New Roman"/>
                <w:snapToGrid w:val="0"/>
                <w:color w:val="auto"/>
                <w:kern w:val="21"/>
                <w:sz w:val="21"/>
                <w:szCs w:val="21"/>
                <w:highlight w:val="none"/>
                <w:lang w:val="en-US" w:eastAsia="zh-CN" w:bidi="ar-SA"/>
              </w:rPr>
              <w:t>05</w:t>
            </w:r>
            <w:r>
              <w:rPr>
                <w:rFonts w:hint="default" w:ascii="Times New Roman" w:hAnsi="Times New Roman" w:eastAsia="宋体" w:cs="Times New Roman"/>
                <w:snapToGrid w:val="0"/>
                <w:color w:val="auto"/>
                <w:kern w:val="21"/>
                <w:sz w:val="21"/>
                <w:szCs w:val="21"/>
                <w:highlight w:val="none"/>
                <w:lang w:val="en-US" w:eastAsia="zh-CN" w:bidi="ar-SA"/>
              </w:rPr>
              <w:t>t/a</w:t>
            </w:r>
          </w:p>
        </w:tc>
        <w:tc>
          <w:tcPr>
            <w:tcW w:w="1772" w:type="dxa"/>
            <w:noWrap w:val="0"/>
            <w:vAlign w:val="center"/>
          </w:tcPr>
          <w:p w14:paraId="1D2CA406">
            <w:pPr>
              <w:pStyle w:val="54"/>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836" w:type="dxa"/>
            <w:noWrap w:val="0"/>
            <w:vAlign w:val="center"/>
          </w:tcPr>
          <w:p w14:paraId="2CCE6D45">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0.0</w:t>
            </w:r>
            <w:r>
              <w:rPr>
                <w:rFonts w:hint="eastAsia" w:ascii="Times New Roman" w:hAnsi="Times New Roman" w:eastAsia="宋体" w:cs="Times New Roman"/>
                <w:snapToGrid w:val="0"/>
                <w:color w:val="auto"/>
                <w:kern w:val="21"/>
                <w:sz w:val="21"/>
                <w:szCs w:val="21"/>
                <w:highlight w:val="none"/>
                <w:lang w:val="en-US" w:eastAsia="zh-CN" w:bidi="ar-SA"/>
              </w:rPr>
              <w:t>05</w:t>
            </w:r>
            <w:r>
              <w:rPr>
                <w:rFonts w:hint="default" w:ascii="Times New Roman" w:hAnsi="Times New Roman" w:eastAsia="宋体" w:cs="Times New Roman"/>
                <w:snapToGrid w:val="0"/>
                <w:color w:val="auto"/>
                <w:kern w:val="21"/>
                <w:sz w:val="21"/>
                <w:szCs w:val="21"/>
                <w:highlight w:val="none"/>
                <w:lang w:val="en-US" w:eastAsia="zh-CN" w:bidi="ar-SA"/>
              </w:rPr>
              <w:t>t/a</w:t>
            </w:r>
          </w:p>
        </w:tc>
        <w:tc>
          <w:tcPr>
            <w:tcW w:w="1256" w:type="dxa"/>
            <w:gridSpan w:val="2"/>
            <w:noWrap w:val="0"/>
            <w:vAlign w:val="center"/>
          </w:tcPr>
          <w:p w14:paraId="183368BC">
            <w:pPr>
              <w:pStyle w:val="54"/>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+0.0</w:t>
            </w:r>
            <w:r>
              <w:rPr>
                <w:rFonts w:hint="eastAsia" w:ascii="Times New Roman" w:hAnsi="Times New Roman" w:eastAsia="宋体" w:cs="Times New Roman"/>
                <w:snapToGrid w:val="0"/>
                <w:color w:val="auto"/>
                <w:kern w:val="21"/>
                <w:sz w:val="21"/>
                <w:szCs w:val="21"/>
                <w:highlight w:val="none"/>
                <w:lang w:val="en-US" w:eastAsia="zh-CN" w:bidi="ar-SA"/>
              </w:rPr>
              <w:t>05</w:t>
            </w:r>
            <w:r>
              <w:rPr>
                <w:rFonts w:hint="default" w:ascii="Times New Roman" w:hAnsi="Times New Roman" w:eastAsia="宋体" w:cs="Times New Roman"/>
                <w:snapToGrid w:val="0"/>
                <w:color w:val="auto"/>
                <w:kern w:val="21"/>
                <w:sz w:val="21"/>
                <w:szCs w:val="21"/>
                <w:highlight w:val="none"/>
                <w:lang w:val="en-US" w:eastAsia="zh-CN" w:bidi="ar-SA"/>
              </w:rPr>
              <w:t>t/a</w:t>
            </w:r>
          </w:p>
        </w:tc>
      </w:tr>
      <w:tr w14:paraId="7DDF0D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597" w:type="dxa"/>
            <w:vMerge w:val="continue"/>
            <w:noWrap w:val="0"/>
            <w:vAlign w:val="center"/>
          </w:tcPr>
          <w:p w14:paraId="09AB136A">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600" w:type="dxa"/>
            <w:noWrap w:val="0"/>
            <w:vAlign w:val="center"/>
          </w:tcPr>
          <w:p w14:paraId="47FA4F7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highlight w:val="none"/>
                <w:lang w:val="en-US" w:eastAsia="zh-CN" w:bidi="ar"/>
              </w:rPr>
            </w:pPr>
            <w:r>
              <w:rPr>
                <w:rFonts w:hint="eastAsia" w:cs="Times New Roman"/>
                <w:b w:val="0"/>
                <w:bCs w:val="0"/>
                <w:color w:val="auto"/>
                <w:kern w:val="2"/>
                <w:sz w:val="21"/>
                <w:szCs w:val="21"/>
                <w:highlight w:val="none"/>
                <w:lang w:val="en-US" w:eastAsia="zh-CN" w:bidi="ar"/>
              </w:rPr>
              <w:t>天那水废桶</w:t>
            </w:r>
          </w:p>
        </w:tc>
        <w:tc>
          <w:tcPr>
            <w:tcW w:w="1535" w:type="dxa"/>
            <w:noWrap w:val="0"/>
            <w:vAlign w:val="center"/>
          </w:tcPr>
          <w:p w14:paraId="0791872D">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283" w:type="dxa"/>
            <w:noWrap w:val="0"/>
            <w:vAlign w:val="center"/>
          </w:tcPr>
          <w:p w14:paraId="70A25165">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710" w:type="dxa"/>
            <w:noWrap w:val="0"/>
            <w:vAlign w:val="center"/>
          </w:tcPr>
          <w:p w14:paraId="7AD6BBCF">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567" w:type="dxa"/>
            <w:noWrap w:val="0"/>
            <w:vAlign w:val="center"/>
          </w:tcPr>
          <w:p w14:paraId="5C506C01">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eastAsia" w:cs="Times New Roman"/>
                <w:snapToGrid w:val="0"/>
                <w:color w:val="auto"/>
                <w:kern w:val="21"/>
                <w:sz w:val="21"/>
                <w:szCs w:val="21"/>
                <w:highlight w:val="none"/>
                <w:lang w:val="en-US" w:eastAsia="zh-CN" w:bidi="ar-SA"/>
              </w:rPr>
              <w:t>0.01</w:t>
            </w:r>
            <w:r>
              <w:rPr>
                <w:rFonts w:hint="default" w:ascii="Times New Roman" w:hAnsi="Times New Roman" w:eastAsia="宋体" w:cs="Times New Roman"/>
                <w:snapToGrid w:val="0"/>
                <w:color w:val="auto"/>
                <w:kern w:val="21"/>
                <w:sz w:val="21"/>
                <w:szCs w:val="21"/>
                <w:highlight w:val="none"/>
                <w:lang w:val="en-US" w:eastAsia="zh-CN" w:bidi="ar-SA"/>
              </w:rPr>
              <w:t>t/a</w:t>
            </w:r>
          </w:p>
        </w:tc>
        <w:tc>
          <w:tcPr>
            <w:tcW w:w="1772" w:type="dxa"/>
            <w:noWrap w:val="0"/>
            <w:vAlign w:val="center"/>
          </w:tcPr>
          <w:p w14:paraId="243AD465">
            <w:pPr>
              <w:pStyle w:val="54"/>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836" w:type="dxa"/>
            <w:noWrap w:val="0"/>
            <w:vAlign w:val="center"/>
          </w:tcPr>
          <w:p w14:paraId="38DCB927">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eastAsia" w:cs="Times New Roman"/>
                <w:snapToGrid w:val="0"/>
                <w:color w:val="auto"/>
                <w:kern w:val="21"/>
                <w:sz w:val="21"/>
                <w:szCs w:val="21"/>
                <w:highlight w:val="none"/>
                <w:lang w:val="en-US" w:eastAsia="zh-CN" w:bidi="ar-SA"/>
              </w:rPr>
              <w:t>0.01</w:t>
            </w:r>
            <w:r>
              <w:rPr>
                <w:rFonts w:hint="default" w:ascii="Times New Roman" w:hAnsi="Times New Roman" w:eastAsia="宋体" w:cs="Times New Roman"/>
                <w:snapToGrid w:val="0"/>
                <w:color w:val="auto"/>
                <w:kern w:val="21"/>
                <w:sz w:val="21"/>
                <w:szCs w:val="21"/>
                <w:highlight w:val="none"/>
                <w:lang w:val="en-US" w:eastAsia="zh-CN" w:bidi="ar-SA"/>
              </w:rPr>
              <w:t>t/a</w:t>
            </w:r>
          </w:p>
        </w:tc>
        <w:tc>
          <w:tcPr>
            <w:tcW w:w="1256" w:type="dxa"/>
            <w:gridSpan w:val="2"/>
            <w:noWrap w:val="0"/>
            <w:vAlign w:val="center"/>
          </w:tcPr>
          <w:p w14:paraId="287943DB">
            <w:pPr>
              <w:pStyle w:val="54"/>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eastAsia" w:cs="Times New Roman"/>
                <w:snapToGrid w:val="0"/>
                <w:color w:val="auto"/>
                <w:kern w:val="21"/>
                <w:sz w:val="21"/>
                <w:szCs w:val="21"/>
                <w:highlight w:val="none"/>
                <w:lang w:val="en-US" w:eastAsia="zh-CN" w:bidi="ar-SA"/>
              </w:rPr>
              <w:t>+0.01</w:t>
            </w:r>
            <w:r>
              <w:rPr>
                <w:rFonts w:hint="default" w:ascii="Times New Roman" w:hAnsi="Times New Roman" w:eastAsia="宋体" w:cs="Times New Roman"/>
                <w:snapToGrid w:val="0"/>
                <w:color w:val="auto"/>
                <w:kern w:val="21"/>
                <w:sz w:val="21"/>
                <w:szCs w:val="21"/>
                <w:highlight w:val="none"/>
                <w:lang w:val="en-US" w:eastAsia="zh-CN" w:bidi="ar-SA"/>
              </w:rPr>
              <w:t>t/a</w:t>
            </w:r>
          </w:p>
        </w:tc>
      </w:tr>
      <w:tr w14:paraId="1AB522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597" w:type="dxa"/>
            <w:vMerge w:val="continue"/>
            <w:noWrap w:val="0"/>
            <w:vAlign w:val="center"/>
          </w:tcPr>
          <w:p w14:paraId="0FC0B9AF">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600" w:type="dxa"/>
            <w:noWrap w:val="0"/>
            <w:vAlign w:val="center"/>
          </w:tcPr>
          <w:p w14:paraId="65A4EB8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snapToGrid w:val="0"/>
                <w:color w:val="auto"/>
                <w:kern w:val="21"/>
                <w:sz w:val="21"/>
                <w:szCs w:val="21"/>
                <w:highlight w:val="none"/>
                <w:lang w:val="en-US" w:eastAsia="zh-CN"/>
              </w:rPr>
            </w:pPr>
            <w:r>
              <w:rPr>
                <w:rFonts w:hint="eastAsia" w:ascii="Times New Roman" w:hAnsi="Times New Roman" w:eastAsia="宋体" w:cs="Times New Roman"/>
                <w:b w:val="0"/>
                <w:bCs w:val="0"/>
                <w:color w:val="auto"/>
                <w:kern w:val="2"/>
                <w:sz w:val="21"/>
                <w:szCs w:val="21"/>
                <w:highlight w:val="none"/>
                <w:lang w:val="en-US" w:eastAsia="zh-CN" w:bidi="ar"/>
              </w:rPr>
              <w:t>废活性炭</w:t>
            </w:r>
          </w:p>
        </w:tc>
        <w:tc>
          <w:tcPr>
            <w:tcW w:w="1535" w:type="dxa"/>
            <w:noWrap w:val="0"/>
            <w:vAlign w:val="center"/>
          </w:tcPr>
          <w:p w14:paraId="64BDBDDE">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283" w:type="dxa"/>
            <w:noWrap w:val="0"/>
            <w:vAlign w:val="center"/>
          </w:tcPr>
          <w:p w14:paraId="1DA2C23C">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710" w:type="dxa"/>
            <w:noWrap w:val="0"/>
            <w:vAlign w:val="center"/>
          </w:tcPr>
          <w:p w14:paraId="41F55ED4">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567" w:type="dxa"/>
            <w:noWrap w:val="0"/>
            <w:vAlign w:val="center"/>
          </w:tcPr>
          <w:p w14:paraId="329E540F">
            <w:pPr>
              <w:pStyle w:val="54"/>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 w:val="21"/>
                <w:szCs w:val="21"/>
                <w:highlight w:val="none"/>
                <w:lang w:val="en-US" w:eastAsia="zh-CN"/>
              </w:rPr>
            </w:pPr>
            <w:r>
              <w:rPr>
                <w:rFonts w:hint="eastAsia" w:ascii="Times New Roman" w:cs="Times New Roman"/>
                <w:snapToGrid w:val="0"/>
                <w:color w:val="auto"/>
                <w:kern w:val="21"/>
                <w:sz w:val="21"/>
                <w:szCs w:val="21"/>
                <w:highlight w:val="none"/>
                <w:lang w:val="en-US" w:eastAsia="zh-CN"/>
              </w:rPr>
              <w:t>4.594</w:t>
            </w:r>
            <w:r>
              <w:rPr>
                <w:rFonts w:hint="default" w:ascii="Times New Roman" w:hAnsi="Times New Roman" w:eastAsia="宋体" w:cs="Times New Roman"/>
                <w:snapToGrid w:val="0"/>
                <w:color w:val="auto"/>
                <w:kern w:val="21"/>
                <w:sz w:val="21"/>
                <w:szCs w:val="21"/>
                <w:highlight w:val="none"/>
                <w:lang w:val="en-US" w:eastAsia="zh-CN"/>
              </w:rPr>
              <w:t>t/a</w:t>
            </w:r>
          </w:p>
        </w:tc>
        <w:tc>
          <w:tcPr>
            <w:tcW w:w="1772" w:type="dxa"/>
            <w:noWrap w:val="0"/>
            <w:vAlign w:val="center"/>
          </w:tcPr>
          <w:p w14:paraId="4AC7DD03">
            <w:pPr>
              <w:pStyle w:val="54"/>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 w:val="21"/>
                <w:szCs w:val="21"/>
                <w:highlight w:val="none"/>
                <w:lang w:val="en-US" w:eastAsia="zh-CN"/>
              </w:rPr>
            </w:pPr>
          </w:p>
        </w:tc>
        <w:tc>
          <w:tcPr>
            <w:tcW w:w="1970" w:type="dxa"/>
            <w:gridSpan w:val="2"/>
            <w:noWrap w:val="0"/>
            <w:vAlign w:val="center"/>
          </w:tcPr>
          <w:p w14:paraId="7CD2FEFA">
            <w:pPr>
              <w:pStyle w:val="54"/>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 w:val="21"/>
                <w:szCs w:val="21"/>
                <w:highlight w:val="none"/>
                <w:lang w:val="en-US" w:eastAsia="zh-CN"/>
              </w:rPr>
            </w:pPr>
            <w:r>
              <w:rPr>
                <w:rFonts w:hint="eastAsia" w:ascii="Times New Roman" w:cs="Times New Roman"/>
                <w:snapToGrid w:val="0"/>
                <w:color w:val="auto"/>
                <w:kern w:val="21"/>
                <w:sz w:val="21"/>
                <w:szCs w:val="21"/>
                <w:highlight w:val="none"/>
                <w:lang w:val="en-US" w:eastAsia="zh-CN"/>
              </w:rPr>
              <w:t>4.594</w:t>
            </w:r>
            <w:r>
              <w:rPr>
                <w:rFonts w:hint="default" w:ascii="Times New Roman" w:hAnsi="Times New Roman" w:eastAsia="宋体" w:cs="Times New Roman"/>
                <w:snapToGrid w:val="0"/>
                <w:color w:val="auto"/>
                <w:kern w:val="21"/>
                <w:sz w:val="21"/>
                <w:szCs w:val="21"/>
                <w:highlight w:val="none"/>
                <w:lang w:val="en-US" w:eastAsia="zh-CN"/>
              </w:rPr>
              <w:t>t/a</w:t>
            </w:r>
          </w:p>
        </w:tc>
        <w:tc>
          <w:tcPr>
            <w:tcW w:w="1122" w:type="dxa"/>
            <w:noWrap w:val="0"/>
            <w:vAlign w:val="center"/>
          </w:tcPr>
          <w:p w14:paraId="35DB00D8">
            <w:pPr>
              <w:pStyle w:val="54"/>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snapToGrid w:val="0"/>
                <w:color w:val="auto"/>
                <w:kern w:val="21"/>
                <w:sz w:val="21"/>
                <w:szCs w:val="21"/>
                <w:highlight w:val="none"/>
                <w:lang w:val="en-US" w:eastAsia="zh-CN"/>
              </w:rPr>
              <w:t>+</w:t>
            </w:r>
            <w:r>
              <w:rPr>
                <w:rFonts w:hint="eastAsia" w:ascii="Times New Roman" w:cs="Times New Roman"/>
                <w:snapToGrid w:val="0"/>
                <w:color w:val="auto"/>
                <w:kern w:val="21"/>
                <w:sz w:val="21"/>
                <w:szCs w:val="21"/>
                <w:highlight w:val="none"/>
                <w:lang w:val="en-US" w:eastAsia="zh-CN"/>
              </w:rPr>
              <w:t>4.594</w:t>
            </w:r>
            <w:r>
              <w:rPr>
                <w:rFonts w:hint="default" w:ascii="Times New Roman" w:hAnsi="Times New Roman" w:eastAsia="宋体" w:cs="Times New Roman"/>
                <w:snapToGrid w:val="0"/>
                <w:color w:val="auto"/>
                <w:kern w:val="21"/>
                <w:sz w:val="21"/>
                <w:szCs w:val="21"/>
                <w:highlight w:val="none"/>
                <w:lang w:val="en-US" w:eastAsia="zh-CN"/>
              </w:rPr>
              <w:t>t/a</w:t>
            </w:r>
          </w:p>
        </w:tc>
      </w:tr>
      <w:tr w14:paraId="147CB0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597" w:type="dxa"/>
            <w:vMerge w:val="continue"/>
            <w:noWrap w:val="0"/>
            <w:vAlign w:val="center"/>
          </w:tcPr>
          <w:p w14:paraId="6E02A337">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600" w:type="dxa"/>
            <w:noWrap w:val="0"/>
            <w:vAlign w:val="center"/>
          </w:tcPr>
          <w:p w14:paraId="3C135CE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snapToGrid w:val="0"/>
                <w:color w:val="auto"/>
                <w:kern w:val="21"/>
                <w:sz w:val="21"/>
                <w:szCs w:val="21"/>
                <w:highlight w:val="none"/>
                <w:lang w:val="en-US" w:eastAsia="zh-CN"/>
              </w:rPr>
            </w:pPr>
            <w:r>
              <w:rPr>
                <w:rFonts w:hint="eastAsia" w:ascii="Times New Roman" w:hAnsi="Times New Roman" w:eastAsia="宋体" w:cs="Times New Roman"/>
                <w:b w:val="0"/>
                <w:bCs w:val="0"/>
                <w:color w:val="auto"/>
                <w:kern w:val="2"/>
                <w:sz w:val="21"/>
                <w:szCs w:val="21"/>
                <w:highlight w:val="none"/>
                <w:lang w:val="en-US" w:eastAsia="zh-CN" w:bidi="ar"/>
              </w:rPr>
              <w:t>废抹布、废橡皮布</w:t>
            </w:r>
          </w:p>
        </w:tc>
        <w:tc>
          <w:tcPr>
            <w:tcW w:w="1535" w:type="dxa"/>
            <w:noWrap w:val="0"/>
            <w:vAlign w:val="center"/>
          </w:tcPr>
          <w:p w14:paraId="7D0B51D7">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283" w:type="dxa"/>
            <w:noWrap w:val="0"/>
            <w:vAlign w:val="center"/>
          </w:tcPr>
          <w:p w14:paraId="3044F283">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710" w:type="dxa"/>
            <w:noWrap w:val="0"/>
            <w:vAlign w:val="center"/>
          </w:tcPr>
          <w:p w14:paraId="0C95ED42">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567" w:type="dxa"/>
            <w:noWrap w:val="0"/>
            <w:vAlign w:val="center"/>
          </w:tcPr>
          <w:p w14:paraId="1534F9D5">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snapToGrid w:val="0"/>
                <w:color w:val="auto"/>
                <w:kern w:val="21"/>
                <w:sz w:val="21"/>
                <w:szCs w:val="21"/>
                <w:highlight w:val="none"/>
                <w:lang w:val="en-US" w:eastAsia="zh-CN"/>
              </w:rPr>
              <w:t>0.</w:t>
            </w:r>
            <w:r>
              <w:rPr>
                <w:rFonts w:hint="eastAsia" w:ascii="Times New Roman" w:cs="Times New Roman"/>
                <w:snapToGrid w:val="0"/>
                <w:color w:val="auto"/>
                <w:kern w:val="21"/>
                <w:sz w:val="21"/>
                <w:szCs w:val="21"/>
                <w:highlight w:val="none"/>
                <w:lang w:val="en-US" w:eastAsia="zh-CN"/>
              </w:rPr>
              <w:t>05</w:t>
            </w:r>
            <w:r>
              <w:rPr>
                <w:rFonts w:hint="default" w:ascii="Times New Roman" w:hAnsi="Times New Roman" w:eastAsia="宋体" w:cs="Times New Roman"/>
                <w:snapToGrid w:val="0"/>
                <w:color w:val="auto"/>
                <w:kern w:val="21"/>
                <w:sz w:val="21"/>
                <w:szCs w:val="21"/>
                <w:highlight w:val="none"/>
                <w:lang w:val="en-US" w:eastAsia="zh-CN"/>
              </w:rPr>
              <w:t>t/a</w:t>
            </w:r>
          </w:p>
        </w:tc>
        <w:tc>
          <w:tcPr>
            <w:tcW w:w="1772" w:type="dxa"/>
            <w:noWrap w:val="0"/>
            <w:vAlign w:val="center"/>
          </w:tcPr>
          <w:p w14:paraId="0468CE37">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970" w:type="dxa"/>
            <w:gridSpan w:val="2"/>
            <w:noWrap w:val="0"/>
            <w:vAlign w:val="center"/>
          </w:tcPr>
          <w:p w14:paraId="5B011313">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21"/>
                <w:sz w:val="21"/>
                <w:szCs w:val="21"/>
                <w:highlight w:val="none"/>
                <w:lang w:val="en-US" w:eastAsia="zh-CN"/>
              </w:rPr>
              <w:t>0.</w:t>
            </w:r>
            <w:r>
              <w:rPr>
                <w:rFonts w:hint="eastAsia" w:ascii="Times New Roman" w:cs="Times New Roman"/>
                <w:snapToGrid w:val="0"/>
                <w:color w:val="auto"/>
                <w:kern w:val="21"/>
                <w:sz w:val="21"/>
                <w:szCs w:val="21"/>
                <w:highlight w:val="none"/>
                <w:lang w:val="en-US" w:eastAsia="zh-CN"/>
              </w:rPr>
              <w:t>05</w:t>
            </w:r>
            <w:r>
              <w:rPr>
                <w:rFonts w:hint="default" w:ascii="Times New Roman" w:hAnsi="Times New Roman" w:eastAsia="宋体" w:cs="Times New Roman"/>
                <w:snapToGrid w:val="0"/>
                <w:color w:val="auto"/>
                <w:kern w:val="21"/>
                <w:sz w:val="21"/>
                <w:szCs w:val="21"/>
                <w:highlight w:val="none"/>
                <w:lang w:val="en-US" w:eastAsia="zh-CN"/>
              </w:rPr>
              <w:t>t/a</w:t>
            </w:r>
          </w:p>
        </w:tc>
        <w:tc>
          <w:tcPr>
            <w:tcW w:w="1122" w:type="dxa"/>
            <w:noWrap w:val="0"/>
            <w:vAlign w:val="center"/>
          </w:tcPr>
          <w:p w14:paraId="3D2026A0">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21"/>
                <w:sz w:val="21"/>
                <w:szCs w:val="21"/>
                <w:highlight w:val="none"/>
                <w:lang w:val="en-US" w:eastAsia="zh-CN"/>
              </w:rPr>
              <w:t>+0.</w:t>
            </w:r>
            <w:r>
              <w:rPr>
                <w:rFonts w:hint="eastAsia" w:ascii="Times New Roman" w:cs="Times New Roman"/>
                <w:snapToGrid w:val="0"/>
                <w:color w:val="auto"/>
                <w:kern w:val="21"/>
                <w:sz w:val="21"/>
                <w:szCs w:val="21"/>
                <w:highlight w:val="none"/>
                <w:lang w:val="en-US" w:eastAsia="zh-CN"/>
              </w:rPr>
              <w:t>05</w:t>
            </w:r>
            <w:r>
              <w:rPr>
                <w:rFonts w:hint="default" w:ascii="Times New Roman" w:hAnsi="Times New Roman" w:eastAsia="宋体" w:cs="Times New Roman"/>
                <w:snapToGrid w:val="0"/>
                <w:color w:val="auto"/>
                <w:kern w:val="21"/>
                <w:sz w:val="21"/>
                <w:szCs w:val="21"/>
                <w:highlight w:val="none"/>
                <w:lang w:val="en-US" w:eastAsia="zh-CN"/>
              </w:rPr>
              <w:t>t/a</w:t>
            </w:r>
          </w:p>
        </w:tc>
      </w:tr>
      <w:tr w14:paraId="25306B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597" w:type="dxa"/>
            <w:vMerge w:val="continue"/>
            <w:noWrap w:val="0"/>
            <w:vAlign w:val="center"/>
          </w:tcPr>
          <w:p w14:paraId="76EEC954">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600" w:type="dxa"/>
            <w:noWrap w:val="0"/>
            <w:vAlign w:val="center"/>
          </w:tcPr>
          <w:p w14:paraId="73250F9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snapToGrid w:val="0"/>
                <w:color w:val="auto"/>
                <w:kern w:val="21"/>
                <w:sz w:val="21"/>
                <w:szCs w:val="21"/>
                <w:highlight w:val="none"/>
                <w:lang w:val="en-US" w:eastAsia="zh-CN"/>
              </w:rPr>
            </w:pPr>
            <w:r>
              <w:rPr>
                <w:rFonts w:hint="eastAsia" w:ascii="Times New Roman" w:hAnsi="Times New Roman" w:eastAsia="宋体" w:cs="Times New Roman"/>
                <w:b w:val="0"/>
                <w:bCs w:val="0"/>
                <w:color w:val="auto"/>
                <w:kern w:val="2"/>
                <w:sz w:val="21"/>
                <w:szCs w:val="21"/>
                <w:highlight w:val="none"/>
                <w:lang w:val="en-US" w:eastAsia="zh-CN" w:bidi="ar"/>
              </w:rPr>
              <w:t>废油墨渣</w:t>
            </w:r>
          </w:p>
        </w:tc>
        <w:tc>
          <w:tcPr>
            <w:tcW w:w="1535" w:type="dxa"/>
            <w:noWrap w:val="0"/>
            <w:vAlign w:val="center"/>
          </w:tcPr>
          <w:p w14:paraId="495113C0">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283" w:type="dxa"/>
            <w:noWrap w:val="0"/>
            <w:vAlign w:val="center"/>
          </w:tcPr>
          <w:p w14:paraId="01F42FAC">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710" w:type="dxa"/>
            <w:noWrap w:val="0"/>
            <w:vAlign w:val="center"/>
          </w:tcPr>
          <w:p w14:paraId="4734E88F">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567" w:type="dxa"/>
            <w:noWrap w:val="0"/>
            <w:vAlign w:val="center"/>
          </w:tcPr>
          <w:p w14:paraId="1E21908F">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snapToGrid w:val="0"/>
                <w:color w:val="auto"/>
                <w:kern w:val="21"/>
                <w:sz w:val="21"/>
                <w:szCs w:val="21"/>
                <w:highlight w:val="none"/>
                <w:lang w:val="en-US" w:eastAsia="zh-CN"/>
              </w:rPr>
              <w:t>0.0</w:t>
            </w:r>
            <w:r>
              <w:rPr>
                <w:rFonts w:hint="eastAsia" w:ascii="Times New Roman" w:cs="Times New Roman"/>
                <w:snapToGrid w:val="0"/>
                <w:color w:val="auto"/>
                <w:kern w:val="21"/>
                <w:sz w:val="21"/>
                <w:szCs w:val="21"/>
                <w:highlight w:val="none"/>
                <w:lang w:val="en-US" w:eastAsia="zh-CN"/>
              </w:rPr>
              <w:t>5</w:t>
            </w:r>
            <w:r>
              <w:rPr>
                <w:rFonts w:hint="default" w:ascii="Times New Roman" w:hAnsi="Times New Roman" w:eastAsia="宋体" w:cs="Times New Roman"/>
                <w:snapToGrid w:val="0"/>
                <w:color w:val="auto"/>
                <w:kern w:val="21"/>
                <w:sz w:val="21"/>
                <w:szCs w:val="21"/>
                <w:highlight w:val="none"/>
                <w:lang w:val="en-US" w:eastAsia="zh-CN"/>
              </w:rPr>
              <w:t>t/a</w:t>
            </w:r>
          </w:p>
        </w:tc>
        <w:tc>
          <w:tcPr>
            <w:tcW w:w="1772" w:type="dxa"/>
            <w:noWrap w:val="0"/>
            <w:vAlign w:val="center"/>
          </w:tcPr>
          <w:p w14:paraId="07D3093E">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970" w:type="dxa"/>
            <w:gridSpan w:val="2"/>
            <w:noWrap w:val="0"/>
            <w:vAlign w:val="center"/>
          </w:tcPr>
          <w:p w14:paraId="131CABA7">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21"/>
                <w:sz w:val="21"/>
                <w:szCs w:val="21"/>
                <w:highlight w:val="none"/>
                <w:lang w:val="en-US" w:eastAsia="zh-CN"/>
              </w:rPr>
              <w:t>0.0</w:t>
            </w:r>
            <w:r>
              <w:rPr>
                <w:rFonts w:hint="eastAsia" w:ascii="Times New Roman" w:cs="Times New Roman"/>
                <w:snapToGrid w:val="0"/>
                <w:color w:val="auto"/>
                <w:kern w:val="21"/>
                <w:sz w:val="21"/>
                <w:szCs w:val="21"/>
                <w:highlight w:val="none"/>
                <w:lang w:val="en-US" w:eastAsia="zh-CN"/>
              </w:rPr>
              <w:t>5</w:t>
            </w:r>
            <w:r>
              <w:rPr>
                <w:rFonts w:hint="default" w:ascii="Times New Roman" w:hAnsi="Times New Roman" w:eastAsia="宋体" w:cs="Times New Roman"/>
                <w:snapToGrid w:val="0"/>
                <w:color w:val="auto"/>
                <w:kern w:val="21"/>
                <w:sz w:val="21"/>
                <w:szCs w:val="21"/>
                <w:highlight w:val="none"/>
                <w:lang w:val="en-US" w:eastAsia="zh-CN"/>
              </w:rPr>
              <w:t>t/a</w:t>
            </w:r>
          </w:p>
        </w:tc>
        <w:tc>
          <w:tcPr>
            <w:tcW w:w="1122" w:type="dxa"/>
            <w:noWrap w:val="0"/>
            <w:vAlign w:val="center"/>
          </w:tcPr>
          <w:p w14:paraId="50C49FA1">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21"/>
                <w:sz w:val="21"/>
                <w:szCs w:val="21"/>
                <w:highlight w:val="none"/>
                <w:lang w:val="en-US" w:eastAsia="zh-CN"/>
              </w:rPr>
              <w:t>+0.0</w:t>
            </w:r>
            <w:r>
              <w:rPr>
                <w:rFonts w:hint="eastAsia" w:ascii="Times New Roman" w:cs="Times New Roman"/>
                <w:snapToGrid w:val="0"/>
                <w:color w:val="auto"/>
                <w:kern w:val="21"/>
                <w:sz w:val="21"/>
                <w:szCs w:val="21"/>
                <w:highlight w:val="none"/>
                <w:lang w:val="en-US" w:eastAsia="zh-CN"/>
              </w:rPr>
              <w:t>5</w:t>
            </w:r>
            <w:r>
              <w:rPr>
                <w:rFonts w:hint="default" w:ascii="Times New Roman" w:hAnsi="Times New Roman" w:eastAsia="宋体" w:cs="Times New Roman"/>
                <w:snapToGrid w:val="0"/>
                <w:color w:val="auto"/>
                <w:kern w:val="21"/>
                <w:sz w:val="21"/>
                <w:szCs w:val="21"/>
                <w:highlight w:val="none"/>
                <w:lang w:val="en-US" w:eastAsia="zh-CN"/>
              </w:rPr>
              <w:t>t/a</w:t>
            </w:r>
          </w:p>
        </w:tc>
      </w:tr>
      <w:tr w14:paraId="2491DD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597" w:type="dxa"/>
            <w:vMerge w:val="continue"/>
            <w:noWrap w:val="0"/>
            <w:vAlign w:val="center"/>
          </w:tcPr>
          <w:p w14:paraId="66E5E4BE">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600" w:type="dxa"/>
            <w:noWrap w:val="0"/>
            <w:vAlign w:val="center"/>
          </w:tcPr>
          <w:p w14:paraId="0EB7F94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snapToGrid w:val="0"/>
                <w:color w:val="auto"/>
                <w:kern w:val="21"/>
                <w:sz w:val="21"/>
                <w:szCs w:val="21"/>
                <w:highlight w:val="none"/>
                <w:lang w:val="en-US" w:eastAsia="zh-CN"/>
              </w:rPr>
            </w:pPr>
            <w:r>
              <w:rPr>
                <w:rFonts w:hint="eastAsia" w:ascii="Times New Roman" w:hAnsi="Times New Roman" w:eastAsia="宋体" w:cs="Times New Roman"/>
                <w:b w:val="0"/>
                <w:bCs w:val="0"/>
                <w:color w:val="auto"/>
                <w:kern w:val="2"/>
                <w:sz w:val="21"/>
                <w:szCs w:val="21"/>
                <w:highlight w:val="none"/>
                <w:lang w:val="en-US" w:eastAsia="zh-CN" w:bidi="ar"/>
              </w:rPr>
              <w:t>废机油</w:t>
            </w:r>
          </w:p>
        </w:tc>
        <w:tc>
          <w:tcPr>
            <w:tcW w:w="1535" w:type="dxa"/>
            <w:noWrap w:val="0"/>
            <w:vAlign w:val="center"/>
          </w:tcPr>
          <w:p w14:paraId="2C0892EE">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283" w:type="dxa"/>
            <w:noWrap w:val="0"/>
            <w:vAlign w:val="center"/>
          </w:tcPr>
          <w:p w14:paraId="2DF05399">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710" w:type="dxa"/>
            <w:noWrap w:val="0"/>
            <w:vAlign w:val="center"/>
          </w:tcPr>
          <w:p w14:paraId="36E1DE7D">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567" w:type="dxa"/>
            <w:noWrap w:val="0"/>
            <w:vAlign w:val="center"/>
          </w:tcPr>
          <w:p w14:paraId="70A38F57">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snapToGrid w:val="0"/>
                <w:color w:val="auto"/>
                <w:kern w:val="21"/>
                <w:sz w:val="21"/>
                <w:szCs w:val="21"/>
                <w:highlight w:val="none"/>
                <w:lang w:val="en-US" w:eastAsia="zh-CN"/>
              </w:rPr>
              <w:t>0.0</w:t>
            </w:r>
            <w:r>
              <w:rPr>
                <w:rFonts w:hint="eastAsia" w:ascii="Times New Roman" w:cs="Times New Roman"/>
                <w:snapToGrid w:val="0"/>
                <w:color w:val="auto"/>
                <w:kern w:val="21"/>
                <w:sz w:val="21"/>
                <w:szCs w:val="21"/>
                <w:highlight w:val="none"/>
                <w:lang w:val="en-US" w:eastAsia="zh-CN"/>
              </w:rPr>
              <w:t>2</w:t>
            </w:r>
            <w:r>
              <w:rPr>
                <w:rFonts w:hint="default" w:ascii="Times New Roman" w:hAnsi="Times New Roman" w:eastAsia="宋体" w:cs="Times New Roman"/>
                <w:snapToGrid w:val="0"/>
                <w:color w:val="auto"/>
                <w:kern w:val="21"/>
                <w:sz w:val="21"/>
                <w:szCs w:val="21"/>
                <w:highlight w:val="none"/>
                <w:lang w:val="en-US" w:eastAsia="zh-CN"/>
              </w:rPr>
              <w:t>t/a</w:t>
            </w:r>
          </w:p>
        </w:tc>
        <w:tc>
          <w:tcPr>
            <w:tcW w:w="1772" w:type="dxa"/>
            <w:noWrap w:val="0"/>
            <w:vAlign w:val="center"/>
          </w:tcPr>
          <w:p w14:paraId="6078792C">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rPr>
            </w:pPr>
          </w:p>
        </w:tc>
        <w:tc>
          <w:tcPr>
            <w:tcW w:w="1970" w:type="dxa"/>
            <w:gridSpan w:val="2"/>
            <w:noWrap w:val="0"/>
            <w:vAlign w:val="center"/>
          </w:tcPr>
          <w:p w14:paraId="7FE1DF15">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21"/>
                <w:sz w:val="21"/>
                <w:szCs w:val="21"/>
                <w:highlight w:val="none"/>
                <w:lang w:val="en-US" w:eastAsia="zh-CN"/>
              </w:rPr>
              <w:t>0.0</w:t>
            </w:r>
            <w:r>
              <w:rPr>
                <w:rFonts w:hint="eastAsia" w:ascii="Times New Roman" w:cs="Times New Roman"/>
                <w:snapToGrid w:val="0"/>
                <w:color w:val="auto"/>
                <w:kern w:val="21"/>
                <w:sz w:val="21"/>
                <w:szCs w:val="21"/>
                <w:highlight w:val="none"/>
                <w:lang w:val="en-US" w:eastAsia="zh-CN"/>
              </w:rPr>
              <w:t>2</w:t>
            </w:r>
            <w:r>
              <w:rPr>
                <w:rFonts w:hint="default" w:ascii="Times New Roman" w:hAnsi="Times New Roman" w:eastAsia="宋体" w:cs="Times New Roman"/>
                <w:snapToGrid w:val="0"/>
                <w:color w:val="auto"/>
                <w:kern w:val="21"/>
                <w:sz w:val="21"/>
                <w:szCs w:val="21"/>
                <w:highlight w:val="none"/>
                <w:lang w:val="en-US" w:eastAsia="zh-CN"/>
              </w:rPr>
              <w:t>t/a</w:t>
            </w:r>
          </w:p>
        </w:tc>
        <w:tc>
          <w:tcPr>
            <w:tcW w:w="1122" w:type="dxa"/>
            <w:noWrap w:val="0"/>
            <w:vAlign w:val="center"/>
          </w:tcPr>
          <w:p w14:paraId="311A6126">
            <w:pPr>
              <w:pStyle w:val="54"/>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21"/>
                <w:sz w:val="21"/>
                <w:szCs w:val="21"/>
                <w:highlight w:val="none"/>
                <w:lang w:val="en-US" w:eastAsia="zh-CN"/>
              </w:rPr>
              <w:t>+0.0</w:t>
            </w:r>
            <w:r>
              <w:rPr>
                <w:rFonts w:hint="eastAsia" w:ascii="Times New Roman" w:cs="Times New Roman"/>
                <w:snapToGrid w:val="0"/>
                <w:color w:val="auto"/>
                <w:kern w:val="21"/>
                <w:sz w:val="21"/>
                <w:szCs w:val="21"/>
                <w:highlight w:val="none"/>
                <w:lang w:val="en-US" w:eastAsia="zh-CN"/>
              </w:rPr>
              <w:t>2</w:t>
            </w:r>
            <w:r>
              <w:rPr>
                <w:rFonts w:hint="default" w:ascii="Times New Roman" w:hAnsi="Times New Roman" w:eastAsia="宋体" w:cs="Times New Roman"/>
                <w:snapToGrid w:val="0"/>
                <w:color w:val="auto"/>
                <w:kern w:val="21"/>
                <w:sz w:val="21"/>
                <w:szCs w:val="21"/>
                <w:highlight w:val="none"/>
                <w:lang w:val="en-US" w:eastAsia="zh-CN"/>
              </w:rPr>
              <w:t>t/a</w:t>
            </w:r>
          </w:p>
        </w:tc>
      </w:tr>
    </w:tbl>
    <w:p w14:paraId="4F1E8F4D">
      <w:pPr>
        <w:pStyle w:val="54"/>
        <w:spacing w:before="192" w:beforeLines="80" w:after="24"/>
        <w:jc w:val="left"/>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kern w:val="21"/>
          <w:szCs w:val="21"/>
          <w:highlight w:val="none"/>
        </w:rPr>
        <w:t>注：</w:t>
      </w:r>
      <w:r>
        <w:rPr>
          <w:rFonts w:hint="default" w:ascii="Times New Roman" w:hAnsi="Times New Roman" w:eastAsia="宋体" w:cs="Times New Roman"/>
          <w:snapToGrid w:val="0"/>
          <w:color w:val="auto"/>
          <w:spacing w:val="-16"/>
          <w:kern w:val="21"/>
          <w:szCs w:val="21"/>
          <w:highlight w:val="none"/>
        </w:rPr>
        <w:fldChar w:fldCharType="begin"/>
      </w:r>
      <w:r>
        <w:rPr>
          <w:rFonts w:hint="default" w:ascii="Times New Roman" w:hAnsi="Times New Roman" w:eastAsia="宋体" w:cs="Times New Roman"/>
          <w:snapToGrid w:val="0"/>
          <w:color w:val="auto"/>
          <w:spacing w:val="-16"/>
          <w:kern w:val="21"/>
          <w:szCs w:val="21"/>
          <w:highlight w:val="none"/>
        </w:rPr>
        <w:instrText xml:space="preserve"> = 6 \* GB3 \* MERGEFORMAT </w:instrText>
      </w:r>
      <w:r>
        <w:rPr>
          <w:rFonts w:hint="default" w:ascii="Times New Roman" w:hAnsi="Times New Roman" w:eastAsia="宋体" w:cs="Times New Roman"/>
          <w:snapToGrid w:val="0"/>
          <w:color w:val="auto"/>
          <w:spacing w:val="-16"/>
          <w:kern w:val="21"/>
          <w:szCs w:val="21"/>
          <w:highlight w:val="none"/>
        </w:rPr>
        <w:fldChar w:fldCharType="separate"/>
      </w:r>
      <w:r>
        <w:rPr>
          <w:rFonts w:hint="default" w:ascii="Times New Roman" w:hAnsi="Times New Roman" w:eastAsia="宋体" w:cs="Times New Roman"/>
          <w:color w:val="auto"/>
          <w:szCs w:val="21"/>
          <w:highlight w:val="none"/>
        </w:rPr>
        <w:t>⑥</w:t>
      </w:r>
      <w:r>
        <w:rPr>
          <w:rFonts w:hint="default" w:ascii="Times New Roman" w:hAnsi="Times New Roman" w:eastAsia="宋体" w:cs="Times New Roman"/>
          <w:snapToGrid w:val="0"/>
          <w:color w:val="auto"/>
          <w:spacing w:val="-16"/>
          <w:kern w:val="21"/>
          <w:szCs w:val="21"/>
          <w:highlight w:val="none"/>
        </w:rPr>
        <w:fldChar w:fldCharType="end"/>
      </w:r>
      <w:r>
        <w:rPr>
          <w:rFonts w:hint="default" w:ascii="Times New Roman" w:hAnsi="Times New Roman" w:eastAsia="宋体" w:cs="Times New Roman"/>
          <w:snapToGrid w:val="0"/>
          <w:color w:val="auto"/>
          <w:spacing w:val="-16"/>
          <w:kern w:val="21"/>
          <w:szCs w:val="21"/>
          <w:highlight w:val="none"/>
        </w:rPr>
        <w:t>=</w:t>
      </w:r>
      <w:r>
        <w:rPr>
          <w:rFonts w:hint="default" w:ascii="Times New Roman" w:hAnsi="Times New Roman" w:eastAsia="宋体" w:cs="Times New Roman"/>
          <w:snapToGrid w:val="0"/>
          <w:color w:val="auto"/>
          <w:spacing w:val="-6"/>
          <w:kern w:val="21"/>
          <w:szCs w:val="21"/>
          <w:highlight w:val="none"/>
        </w:rPr>
        <w:fldChar w:fldCharType="begin"/>
      </w:r>
      <w:r>
        <w:rPr>
          <w:rFonts w:hint="default" w:ascii="Times New Roman" w:hAnsi="Times New Roman" w:eastAsia="宋体" w:cs="Times New Roman"/>
          <w:snapToGrid w:val="0"/>
          <w:color w:val="auto"/>
          <w:spacing w:val="-6"/>
          <w:kern w:val="21"/>
          <w:szCs w:val="21"/>
          <w:highlight w:val="none"/>
        </w:rPr>
        <w:instrText xml:space="preserve"> = 1 \* GB3 \* MERGEFORMAT </w:instrText>
      </w:r>
      <w:r>
        <w:rPr>
          <w:rFonts w:hint="default" w:ascii="Times New Roman" w:hAnsi="Times New Roman" w:eastAsia="宋体" w:cs="Times New Roman"/>
          <w:snapToGrid w:val="0"/>
          <w:color w:val="auto"/>
          <w:spacing w:val="-6"/>
          <w:kern w:val="21"/>
          <w:szCs w:val="21"/>
          <w:highlight w:val="none"/>
        </w:rPr>
        <w:fldChar w:fldCharType="separate"/>
      </w:r>
      <w:r>
        <w:rPr>
          <w:rFonts w:hint="default" w:ascii="Times New Roman" w:hAnsi="Times New Roman" w:eastAsia="宋体" w:cs="Times New Roman"/>
          <w:color w:val="auto"/>
          <w:szCs w:val="21"/>
          <w:highlight w:val="none"/>
        </w:rPr>
        <w:t>①</w:t>
      </w:r>
      <w:r>
        <w:rPr>
          <w:rFonts w:hint="default" w:ascii="Times New Roman" w:hAnsi="Times New Roman" w:eastAsia="宋体" w:cs="Times New Roman"/>
          <w:snapToGrid w:val="0"/>
          <w:color w:val="auto"/>
          <w:spacing w:val="-6"/>
          <w:kern w:val="21"/>
          <w:szCs w:val="21"/>
          <w:highlight w:val="none"/>
        </w:rPr>
        <w:fldChar w:fldCharType="end"/>
      </w:r>
      <w:r>
        <w:rPr>
          <w:rFonts w:hint="default" w:ascii="Times New Roman" w:hAnsi="Times New Roman" w:eastAsia="宋体" w:cs="Times New Roman"/>
          <w:snapToGrid w:val="0"/>
          <w:color w:val="auto"/>
          <w:spacing w:val="-6"/>
          <w:kern w:val="21"/>
          <w:szCs w:val="21"/>
          <w:highlight w:val="none"/>
        </w:rPr>
        <w:t>+</w:t>
      </w:r>
      <w:r>
        <w:rPr>
          <w:rFonts w:hint="default" w:ascii="Times New Roman" w:hAnsi="Times New Roman" w:eastAsia="宋体" w:cs="Times New Roman"/>
          <w:snapToGrid w:val="0"/>
          <w:color w:val="auto"/>
          <w:spacing w:val="-6"/>
          <w:kern w:val="21"/>
          <w:szCs w:val="21"/>
          <w:highlight w:val="none"/>
        </w:rPr>
        <w:fldChar w:fldCharType="begin"/>
      </w:r>
      <w:r>
        <w:rPr>
          <w:rFonts w:hint="default" w:ascii="Times New Roman" w:hAnsi="Times New Roman" w:eastAsia="宋体" w:cs="Times New Roman"/>
          <w:snapToGrid w:val="0"/>
          <w:color w:val="auto"/>
          <w:spacing w:val="-6"/>
          <w:kern w:val="21"/>
          <w:szCs w:val="21"/>
          <w:highlight w:val="none"/>
        </w:rPr>
        <w:instrText xml:space="preserve"> = 3 \* GB3 \* MERGEFORMAT </w:instrText>
      </w:r>
      <w:r>
        <w:rPr>
          <w:rFonts w:hint="default" w:ascii="Times New Roman" w:hAnsi="Times New Roman" w:eastAsia="宋体" w:cs="Times New Roman"/>
          <w:snapToGrid w:val="0"/>
          <w:color w:val="auto"/>
          <w:spacing w:val="-6"/>
          <w:kern w:val="21"/>
          <w:szCs w:val="21"/>
          <w:highlight w:val="none"/>
        </w:rPr>
        <w:fldChar w:fldCharType="separate"/>
      </w:r>
      <w:r>
        <w:rPr>
          <w:rFonts w:hint="default" w:ascii="Times New Roman" w:hAnsi="Times New Roman" w:eastAsia="宋体" w:cs="Times New Roman"/>
          <w:color w:val="auto"/>
          <w:szCs w:val="21"/>
          <w:highlight w:val="none"/>
        </w:rPr>
        <w:t>③</w:t>
      </w:r>
      <w:r>
        <w:rPr>
          <w:rFonts w:hint="default" w:ascii="Times New Roman" w:hAnsi="Times New Roman" w:eastAsia="宋体" w:cs="Times New Roman"/>
          <w:snapToGrid w:val="0"/>
          <w:color w:val="auto"/>
          <w:spacing w:val="-6"/>
          <w:kern w:val="21"/>
          <w:szCs w:val="21"/>
          <w:highlight w:val="none"/>
        </w:rPr>
        <w:fldChar w:fldCharType="end"/>
      </w:r>
      <w:r>
        <w:rPr>
          <w:rFonts w:hint="default" w:ascii="Times New Roman" w:hAnsi="Times New Roman" w:eastAsia="宋体" w:cs="Times New Roman"/>
          <w:snapToGrid w:val="0"/>
          <w:color w:val="auto"/>
          <w:spacing w:val="-6"/>
          <w:kern w:val="21"/>
          <w:szCs w:val="21"/>
          <w:highlight w:val="none"/>
        </w:rPr>
        <w:t>+</w:t>
      </w:r>
      <w:r>
        <w:rPr>
          <w:rFonts w:hint="default" w:ascii="Times New Roman" w:hAnsi="Times New Roman" w:eastAsia="宋体" w:cs="Times New Roman"/>
          <w:snapToGrid w:val="0"/>
          <w:color w:val="auto"/>
          <w:spacing w:val="-6"/>
          <w:kern w:val="21"/>
          <w:szCs w:val="21"/>
          <w:highlight w:val="none"/>
        </w:rPr>
        <w:fldChar w:fldCharType="begin"/>
      </w:r>
      <w:r>
        <w:rPr>
          <w:rFonts w:hint="default" w:ascii="Times New Roman" w:hAnsi="Times New Roman" w:eastAsia="宋体" w:cs="Times New Roman"/>
          <w:snapToGrid w:val="0"/>
          <w:color w:val="auto"/>
          <w:spacing w:val="-6"/>
          <w:kern w:val="21"/>
          <w:szCs w:val="21"/>
          <w:highlight w:val="none"/>
        </w:rPr>
        <w:instrText xml:space="preserve"> = 4 \* GB3 \* MERGEFORMAT </w:instrText>
      </w:r>
      <w:r>
        <w:rPr>
          <w:rFonts w:hint="default" w:ascii="Times New Roman" w:hAnsi="Times New Roman" w:eastAsia="宋体" w:cs="Times New Roman"/>
          <w:snapToGrid w:val="0"/>
          <w:color w:val="auto"/>
          <w:spacing w:val="-6"/>
          <w:kern w:val="21"/>
          <w:szCs w:val="21"/>
          <w:highlight w:val="none"/>
        </w:rPr>
        <w:fldChar w:fldCharType="separate"/>
      </w:r>
      <w:r>
        <w:rPr>
          <w:rFonts w:hint="default" w:ascii="Times New Roman" w:hAnsi="Times New Roman" w:eastAsia="宋体" w:cs="Times New Roman"/>
          <w:color w:val="auto"/>
          <w:szCs w:val="21"/>
          <w:highlight w:val="none"/>
        </w:rPr>
        <w:t>④</w:t>
      </w:r>
      <w:r>
        <w:rPr>
          <w:rFonts w:hint="default" w:ascii="Times New Roman" w:hAnsi="Times New Roman" w:eastAsia="宋体" w:cs="Times New Roman"/>
          <w:snapToGrid w:val="0"/>
          <w:color w:val="auto"/>
          <w:spacing w:val="-6"/>
          <w:kern w:val="21"/>
          <w:szCs w:val="21"/>
          <w:highlight w:val="none"/>
        </w:rPr>
        <w:fldChar w:fldCharType="end"/>
      </w:r>
      <w:r>
        <w:rPr>
          <w:rFonts w:hint="default" w:ascii="Times New Roman" w:hAnsi="Times New Roman" w:eastAsia="宋体" w:cs="Times New Roman"/>
          <w:snapToGrid w:val="0"/>
          <w:color w:val="auto"/>
          <w:spacing w:val="-6"/>
          <w:kern w:val="21"/>
          <w:szCs w:val="21"/>
          <w:highlight w:val="none"/>
        </w:rPr>
        <w:t>-</w:t>
      </w:r>
      <w:r>
        <w:rPr>
          <w:rFonts w:hint="default" w:ascii="Times New Roman" w:hAnsi="Times New Roman" w:eastAsia="宋体" w:cs="Times New Roman"/>
          <w:snapToGrid w:val="0"/>
          <w:color w:val="auto"/>
          <w:spacing w:val="-16"/>
          <w:kern w:val="21"/>
          <w:szCs w:val="21"/>
          <w:highlight w:val="none"/>
        </w:rPr>
        <w:fldChar w:fldCharType="begin"/>
      </w:r>
      <w:r>
        <w:rPr>
          <w:rFonts w:hint="default" w:ascii="Times New Roman" w:hAnsi="Times New Roman" w:eastAsia="宋体" w:cs="Times New Roman"/>
          <w:snapToGrid w:val="0"/>
          <w:color w:val="auto"/>
          <w:spacing w:val="-16"/>
          <w:kern w:val="21"/>
          <w:szCs w:val="21"/>
          <w:highlight w:val="none"/>
        </w:rPr>
        <w:instrText xml:space="preserve"> = 5 \* GB3 \* MERGEFORMAT </w:instrText>
      </w:r>
      <w:r>
        <w:rPr>
          <w:rFonts w:hint="default" w:ascii="Times New Roman" w:hAnsi="Times New Roman" w:eastAsia="宋体" w:cs="Times New Roman"/>
          <w:snapToGrid w:val="0"/>
          <w:color w:val="auto"/>
          <w:spacing w:val="-16"/>
          <w:kern w:val="21"/>
          <w:szCs w:val="21"/>
          <w:highlight w:val="none"/>
        </w:rPr>
        <w:fldChar w:fldCharType="separate"/>
      </w:r>
      <w:r>
        <w:rPr>
          <w:rFonts w:hint="default" w:ascii="Times New Roman" w:hAnsi="Times New Roman" w:eastAsia="宋体" w:cs="Times New Roman"/>
          <w:color w:val="auto"/>
          <w:szCs w:val="21"/>
          <w:highlight w:val="none"/>
        </w:rPr>
        <w:t>⑤</w:t>
      </w:r>
      <w:r>
        <w:rPr>
          <w:rFonts w:hint="default" w:ascii="Times New Roman" w:hAnsi="Times New Roman" w:eastAsia="宋体" w:cs="Times New Roman"/>
          <w:snapToGrid w:val="0"/>
          <w:color w:val="auto"/>
          <w:spacing w:val="-16"/>
          <w:kern w:val="21"/>
          <w:szCs w:val="21"/>
          <w:highlight w:val="none"/>
        </w:rPr>
        <w:fldChar w:fldCharType="end"/>
      </w:r>
      <w:r>
        <w:rPr>
          <w:rFonts w:hint="default" w:ascii="Times New Roman" w:hAnsi="Times New Roman" w:eastAsia="宋体" w:cs="Times New Roman"/>
          <w:snapToGrid w:val="0"/>
          <w:color w:val="auto"/>
          <w:spacing w:val="-16"/>
          <w:kern w:val="21"/>
          <w:szCs w:val="21"/>
          <w:highlight w:val="none"/>
        </w:rPr>
        <w:t>；</w:t>
      </w:r>
      <w:r>
        <w:rPr>
          <w:rFonts w:hint="default" w:ascii="Times New Roman" w:hAnsi="Times New Roman" w:eastAsia="宋体" w:cs="Times New Roman"/>
          <w:snapToGrid w:val="0"/>
          <w:color w:val="auto"/>
          <w:spacing w:val="-6"/>
          <w:kern w:val="21"/>
          <w:szCs w:val="21"/>
          <w:highlight w:val="none"/>
        </w:rPr>
        <w:fldChar w:fldCharType="begin"/>
      </w:r>
      <w:r>
        <w:rPr>
          <w:rFonts w:hint="default" w:ascii="Times New Roman" w:hAnsi="Times New Roman" w:eastAsia="宋体" w:cs="Times New Roman"/>
          <w:snapToGrid w:val="0"/>
          <w:color w:val="auto"/>
          <w:spacing w:val="-6"/>
          <w:kern w:val="21"/>
          <w:szCs w:val="21"/>
          <w:highlight w:val="none"/>
        </w:rPr>
        <w:instrText xml:space="preserve"> = 7 \* GB3 \* MERGEFORMAT </w:instrText>
      </w:r>
      <w:r>
        <w:rPr>
          <w:rFonts w:hint="default" w:ascii="Times New Roman" w:hAnsi="Times New Roman" w:eastAsia="宋体" w:cs="Times New Roman"/>
          <w:snapToGrid w:val="0"/>
          <w:color w:val="auto"/>
          <w:spacing w:val="-6"/>
          <w:kern w:val="21"/>
          <w:szCs w:val="21"/>
          <w:highlight w:val="none"/>
        </w:rPr>
        <w:fldChar w:fldCharType="separate"/>
      </w:r>
      <w:r>
        <w:rPr>
          <w:rFonts w:hint="default" w:ascii="Times New Roman" w:hAnsi="Times New Roman" w:eastAsia="宋体" w:cs="Times New Roman"/>
          <w:color w:val="auto"/>
          <w:szCs w:val="21"/>
          <w:highlight w:val="none"/>
        </w:rPr>
        <w:t>⑦</w:t>
      </w:r>
      <w:r>
        <w:rPr>
          <w:rFonts w:hint="default" w:ascii="Times New Roman" w:hAnsi="Times New Roman" w:eastAsia="宋体" w:cs="Times New Roman"/>
          <w:snapToGrid w:val="0"/>
          <w:color w:val="auto"/>
          <w:spacing w:val="-6"/>
          <w:kern w:val="21"/>
          <w:szCs w:val="21"/>
          <w:highlight w:val="none"/>
        </w:rPr>
        <w:fldChar w:fldCharType="end"/>
      </w:r>
      <w:r>
        <w:rPr>
          <w:rFonts w:hint="default" w:ascii="Times New Roman" w:hAnsi="Times New Roman" w:eastAsia="宋体" w:cs="Times New Roman"/>
          <w:snapToGrid w:val="0"/>
          <w:color w:val="auto"/>
          <w:spacing w:val="-6"/>
          <w:kern w:val="21"/>
          <w:szCs w:val="21"/>
          <w:highlight w:val="none"/>
        </w:rPr>
        <w:t>=</w:t>
      </w:r>
      <w:r>
        <w:rPr>
          <w:rFonts w:hint="default" w:ascii="Times New Roman" w:hAnsi="Times New Roman" w:eastAsia="宋体" w:cs="Times New Roman"/>
          <w:snapToGrid w:val="0"/>
          <w:color w:val="auto"/>
          <w:spacing w:val="-16"/>
          <w:kern w:val="21"/>
          <w:szCs w:val="21"/>
          <w:highlight w:val="none"/>
        </w:rPr>
        <w:fldChar w:fldCharType="begin"/>
      </w:r>
      <w:r>
        <w:rPr>
          <w:rFonts w:hint="default" w:ascii="Times New Roman" w:hAnsi="Times New Roman" w:eastAsia="宋体" w:cs="Times New Roman"/>
          <w:snapToGrid w:val="0"/>
          <w:color w:val="auto"/>
          <w:spacing w:val="-16"/>
          <w:kern w:val="21"/>
          <w:szCs w:val="21"/>
          <w:highlight w:val="none"/>
        </w:rPr>
        <w:instrText xml:space="preserve"> = 6 \* GB3 \* MERGEFORMAT </w:instrText>
      </w:r>
      <w:r>
        <w:rPr>
          <w:rFonts w:hint="default" w:ascii="Times New Roman" w:hAnsi="Times New Roman" w:eastAsia="宋体" w:cs="Times New Roman"/>
          <w:snapToGrid w:val="0"/>
          <w:color w:val="auto"/>
          <w:spacing w:val="-16"/>
          <w:kern w:val="21"/>
          <w:szCs w:val="21"/>
          <w:highlight w:val="none"/>
        </w:rPr>
        <w:fldChar w:fldCharType="separate"/>
      </w:r>
      <w:r>
        <w:rPr>
          <w:rFonts w:hint="default" w:ascii="Times New Roman" w:hAnsi="Times New Roman" w:eastAsia="宋体" w:cs="Times New Roman"/>
          <w:color w:val="auto"/>
          <w:szCs w:val="21"/>
          <w:highlight w:val="none"/>
        </w:rPr>
        <w:t>⑥</w:t>
      </w:r>
      <w:r>
        <w:rPr>
          <w:rFonts w:hint="default" w:ascii="Times New Roman" w:hAnsi="Times New Roman" w:eastAsia="宋体" w:cs="Times New Roman"/>
          <w:snapToGrid w:val="0"/>
          <w:color w:val="auto"/>
          <w:spacing w:val="-16"/>
          <w:kern w:val="21"/>
          <w:szCs w:val="21"/>
          <w:highlight w:val="none"/>
        </w:rPr>
        <w:fldChar w:fldCharType="end"/>
      </w:r>
      <w:r>
        <w:rPr>
          <w:rFonts w:hint="default" w:ascii="Times New Roman" w:hAnsi="Times New Roman" w:eastAsia="宋体" w:cs="Times New Roman"/>
          <w:snapToGrid w:val="0"/>
          <w:color w:val="auto"/>
          <w:spacing w:val="-16"/>
          <w:kern w:val="21"/>
          <w:szCs w:val="21"/>
          <w:highlight w:val="none"/>
        </w:rPr>
        <w:t>-</w:t>
      </w:r>
      <w:r>
        <w:rPr>
          <w:rFonts w:hint="default" w:ascii="Times New Roman" w:hAnsi="Times New Roman" w:eastAsia="宋体" w:cs="Times New Roman"/>
          <w:snapToGrid w:val="0"/>
          <w:color w:val="auto"/>
          <w:spacing w:val="-6"/>
          <w:kern w:val="21"/>
          <w:szCs w:val="21"/>
          <w:highlight w:val="none"/>
        </w:rPr>
        <w:fldChar w:fldCharType="begin"/>
      </w:r>
      <w:r>
        <w:rPr>
          <w:rFonts w:hint="default" w:ascii="Times New Roman" w:hAnsi="Times New Roman" w:eastAsia="宋体" w:cs="Times New Roman"/>
          <w:snapToGrid w:val="0"/>
          <w:color w:val="auto"/>
          <w:spacing w:val="-6"/>
          <w:kern w:val="21"/>
          <w:szCs w:val="21"/>
          <w:highlight w:val="none"/>
        </w:rPr>
        <w:instrText xml:space="preserve"> = 1 \* GB3 \* MERGEFORMAT </w:instrText>
      </w:r>
      <w:r>
        <w:rPr>
          <w:rFonts w:hint="default" w:ascii="Times New Roman" w:hAnsi="Times New Roman" w:eastAsia="宋体" w:cs="Times New Roman"/>
          <w:snapToGrid w:val="0"/>
          <w:color w:val="auto"/>
          <w:spacing w:val="-6"/>
          <w:kern w:val="21"/>
          <w:szCs w:val="21"/>
          <w:highlight w:val="none"/>
        </w:rPr>
        <w:fldChar w:fldCharType="separate"/>
      </w:r>
      <w:r>
        <w:rPr>
          <w:rFonts w:hint="default" w:ascii="Times New Roman" w:hAnsi="Times New Roman" w:eastAsia="宋体" w:cs="Times New Roman"/>
          <w:color w:val="auto"/>
          <w:szCs w:val="21"/>
          <w:highlight w:val="none"/>
        </w:rPr>
        <w:t>①</w:t>
      </w:r>
      <w:r>
        <w:rPr>
          <w:rFonts w:hint="default" w:ascii="Times New Roman" w:hAnsi="Times New Roman" w:eastAsia="宋体" w:cs="Times New Roman"/>
          <w:snapToGrid w:val="0"/>
          <w:color w:val="auto"/>
          <w:spacing w:val="-6"/>
          <w:kern w:val="21"/>
          <w:szCs w:val="21"/>
          <w:highlight w:val="none"/>
        </w:rPr>
        <w:fldChar w:fldCharType="end"/>
      </w:r>
    </w:p>
    <w:p w14:paraId="0DF48802">
      <w:pPr>
        <w:rPr>
          <w:rFonts w:hint="default" w:ascii="Times New Roman" w:hAnsi="Times New Roman" w:eastAsia="宋体" w:cs="Times New Roman"/>
          <w:color w:val="auto"/>
          <w:highlight w:val="none"/>
        </w:rPr>
      </w:pPr>
    </w:p>
    <w:p w14:paraId="2E2BC679">
      <w:pPr>
        <w:autoSpaceDE w:val="0"/>
        <w:autoSpaceDN w:val="0"/>
        <w:adjustRightInd w:val="0"/>
        <w:jc w:val="left"/>
        <w:rPr>
          <w:rFonts w:hint="default" w:ascii="Times New Roman" w:hAnsi="Times New Roman" w:eastAsia="宋体" w:cs="Times New Roman"/>
          <w:b/>
          <w:bCs/>
          <w:color w:val="auto"/>
          <w:highlight w:val="none"/>
        </w:rPr>
      </w:pPr>
    </w:p>
    <w:p w14:paraId="64A6B192">
      <w:pPr>
        <w:autoSpaceDE w:val="0"/>
        <w:autoSpaceDN w:val="0"/>
        <w:adjustRightInd w:val="0"/>
        <w:jc w:val="left"/>
        <w:rPr>
          <w:rFonts w:hint="default" w:ascii="Times New Roman" w:hAnsi="Times New Roman" w:eastAsia="宋体" w:cs="Times New Roman"/>
          <w:b/>
          <w:bCs/>
          <w:color w:val="auto"/>
          <w:highlight w:val="none"/>
        </w:rPr>
      </w:pPr>
    </w:p>
    <w:p w14:paraId="4CD364E3">
      <w:pPr>
        <w:autoSpaceDE w:val="0"/>
        <w:autoSpaceDN w:val="0"/>
        <w:adjustRightInd w:val="0"/>
        <w:jc w:val="left"/>
        <w:rPr>
          <w:rFonts w:hint="default" w:ascii="Times New Roman" w:hAnsi="Times New Roman" w:eastAsia="宋体" w:cs="Times New Roman"/>
          <w:b/>
          <w:bCs/>
          <w:color w:val="auto"/>
          <w:highlight w:val="none"/>
        </w:rPr>
      </w:pPr>
    </w:p>
    <w:p w14:paraId="0D90CA2D">
      <w:pPr>
        <w:autoSpaceDE w:val="0"/>
        <w:autoSpaceDN w:val="0"/>
        <w:adjustRightInd w:val="0"/>
        <w:jc w:val="left"/>
        <w:rPr>
          <w:rFonts w:hint="default" w:ascii="Times New Roman" w:hAnsi="Times New Roman" w:eastAsia="宋体" w:cs="Times New Roman"/>
          <w:b/>
          <w:bCs/>
          <w:color w:val="auto"/>
          <w:highlight w:val="none"/>
        </w:rPr>
      </w:pPr>
    </w:p>
    <w:p w14:paraId="6DF6C360">
      <w:pPr>
        <w:keepNext w:val="0"/>
        <w:keepLines w:val="0"/>
        <w:pageBreakBefore w:val="0"/>
        <w:widowControl w:val="0"/>
        <w:kinsoku/>
        <w:wordWrap/>
        <w:overflowPunct/>
        <w:topLinePunct w:val="0"/>
        <w:autoSpaceDE/>
        <w:autoSpaceDN/>
        <w:bidi w:val="0"/>
        <w:adjustRightInd/>
        <w:snapToGrid/>
        <w:textAlignment w:val="auto"/>
        <w:rPr>
          <w:rFonts w:hint="default" w:cs="Times New Roman"/>
          <w:b/>
          <w:bCs/>
          <w:smallCaps/>
          <w:color w:val="auto"/>
          <w:kern w:val="2"/>
          <w:sz w:val="21"/>
          <w:szCs w:val="21"/>
          <w:highlight w:val="none"/>
          <w:lang w:val="en-US" w:eastAsia="zh-CN" w:bidi="ar-SA"/>
        </w:rPr>
      </w:pPr>
    </w:p>
    <w:sectPr>
      <w:footerReference r:id="rId5" w:type="default"/>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ms Rmn">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仿宋体">
    <w:altName w:val="宋体"/>
    <w:panose1 w:val="00000000000000000000"/>
    <w:charset w:val="86"/>
    <w:family w:val="roman"/>
    <w:pitch w:val="default"/>
    <w:sig w:usb0="00000000" w:usb1="00000000" w:usb2="00000010" w:usb3="00000000" w:csb0="00040000" w:csb1="00000000"/>
  </w:font>
  <w:font w:name="MS Mincho">
    <w:altName w:val="Yu Gothic UI"/>
    <w:panose1 w:val="02020609040205080304"/>
    <w:charset w:val="80"/>
    <w:family w:val="roma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楷体_GB2312">
    <w:altName w:val="楷体"/>
    <w:panose1 w:val="00000000000000000000"/>
    <w:charset w:val="00"/>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宋?">
    <w:altName w:val="宋体"/>
    <w:panose1 w:val="00000000000000000000"/>
    <w:charset w:val="81"/>
    <w:family w:val="auto"/>
    <w:pitch w:val="default"/>
    <w:sig w:usb0="00000000" w:usb1="00000000" w:usb2="00000010" w:usb3="00000000" w:csb0="00080000" w:csb1="00000000"/>
  </w:font>
  <w:font w:name="Impact">
    <w:panose1 w:val="020B0806030902050204"/>
    <w:charset w:val="00"/>
    <w:family w:val="swiss"/>
    <w:pitch w:val="default"/>
    <w:sig w:usb0="00000287" w:usb1="00000000" w:usb2="00000000" w:usb3="00000000" w:csb0="2000009F" w:csb1="DFD70000"/>
  </w:font>
  <w:font w:name="华文仿宋">
    <w:altName w:val="仿宋"/>
    <w:panose1 w:val="02010600040101010101"/>
    <w:charset w:val="86"/>
    <w:family w:val="auto"/>
    <w:pitch w:val="default"/>
    <w:sig w:usb0="00000000" w:usb1="00000000" w:usb2="00000000" w:usb3="00000000" w:csb0="0004009F" w:csb1="DFD70000"/>
  </w:font>
  <w:font w:name="方正仿宋_GB2312">
    <w:altName w:val="仿宋"/>
    <w:panose1 w:val="02000000000000000000"/>
    <w:charset w:val="86"/>
    <w:family w:val="auto"/>
    <w:pitch w:val="default"/>
    <w:sig w:usb0="00000000" w:usb1="00000000" w:usb2="00000012" w:usb3="00000000" w:csb0="00040001" w:csb1="00000000"/>
  </w:font>
  <w:font w:name="TT125o00">
    <w:altName w:val="Courier New"/>
    <w:panose1 w:val="00000000000000000000"/>
    <w:charset w:val="00"/>
    <w:family w:val="auto"/>
    <w:pitch w:val="default"/>
    <w:sig w:usb0="00000000" w:usb1="00000000" w:usb2="00000000" w:usb3="00000000" w:csb0="00040001" w:csb1="00000000"/>
  </w:font>
  <w:font w:name="KSOFE885277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B6A18">
    <w:pPr>
      <w:pStyle w:val="2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D4E84">
    <w:pPr>
      <w:pStyle w:val="2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27F4DC">
                          <w:pPr>
                            <w:pStyle w:val="2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3C27F4DC">
                    <w:pPr>
                      <w:pStyle w:val="2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635AB">
    <w:pPr>
      <w:pStyle w:val="23"/>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169D35">
                          <w:pPr>
                            <w:pStyle w:val="23"/>
                          </w:pPr>
                          <w:r>
                            <w:t xml:space="preserve">— </w:t>
                          </w:r>
                          <w:r>
                            <w:fldChar w:fldCharType="begin"/>
                          </w:r>
                          <w:r>
                            <w:instrText xml:space="preserve"> PAGE  \* MERGEFORMAT </w:instrText>
                          </w:r>
                          <w:r>
                            <w:fldChar w:fldCharType="separate"/>
                          </w:r>
                          <w:r>
                            <w:t>69</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6E169D35">
                    <w:pPr>
                      <w:pStyle w:val="23"/>
                    </w:pPr>
                    <w:r>
                      <w:t xml:space="preserve">— </w:t>
                    </w:r>
                    <w:r>
                      <w:fldChar w:fldCharType="begin"/>
                    </w:r>
                    <w:r>
                      <w:instrText xml:space="preserve"> PAGE  \* MERGEFORMAT </w:instrText>
                    </w:r>
                    <w:r>
                      <w:fldChar w:fldCharType="separate"/>
                    </w:r>
                    <w:r>
                      <w:t>69</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AB6011"/>
    <w:multiLevelType w:val="singleLevel"/>
    <w:tmpl w:val="87AB6011"/>
    <w:lvl w:ilvl="0" w:tentative="0">
      <w:start w:val="1"/>
      <w:numFmt w:val="decimal"/>
      <w:suff w:val="nothing"/>
      <w:lvlText w:val="%1、"/>
      <w:lvlJc w:val="left"/>
    </w:lvl>
  </w:abstractNum>
  <w:abstractNum w:abstractNumId="1">
    <w:nsid w:val="A54D4187"/>
    <w:multiLevelType w:val="singleLevel"/>
    <w:tmpl w:val="A54D4187"/>
    <w:lvl w:ilvl="0" w:tentative="0">
      <w:start w:val="8"/>
      <w:numFmt w:val="decimal"/>
      <w:suff w:val="nothing"/>
      <w:lvlText w:val="%1、"/>
      <w:lvlJc w:val="left"/>
    </w:lvl>
  </w:abstractNum>
  <w:abstractNum w:abstractNumId="2">
    <w:nsid w:val="B03ADC38"/>
    <w:multiLevelType w:val="singleLevel"/>
    <w:tmpl w:val="B03ADC38"/>
    <w:lvl w:ilvl="0" w:tentative="0">
      <w:start w:val="3"/>
      <w:numFmt w:val="decimal"/>
      <w:suff w:val="nothing"/>
      <w:lvlText w:val="（%1）"/>
      <w:lvlJc w:val="left"/>
    </w:lvl>
  </w:abstractNum>
  <w:abstractNum w:abstractNumId="3">
    <w:nsid w:val="B9F5D96B"/>
    <w:multiLevelType w:val="singleLevel"/>
    <w:tmpl w:val="B9F5D96B"/>
    <w:lvl w:ilvl="0" w:tentative="0">
      <w:start w:val="2"/>
      <w:numFmt w:val="decimal"/>
      <w:suff w:val="nothing"/>
      <w:lvlText w:val="（%1）"/>
      <w:lvlJc w:val="left"/>
      <w:pPr>
        <w:ind w:left="480" w:firstLine="0"/>
      </w:pPr>
    </w:lvl>
  </w:abstractNum>
  <w:abstractNum w:abstractNumId="4">
    <w:nsid w:val="F8C7C32B"/>
    <w:multiLevelType w:val="singleLevel"/>
    <w:tmpl w:val="F8C7C32B"/>
    <w:lvl w:ilvl="0" w:tentative="0">
      <w:start w:val="1"/>
      <w:numFmt w:val="bullet"/>
      <w:pStyle w:val="11"/>
      <w:lvlText w:val=""/>
      <w:lvlJc w:val="left"/>
      <w:pPr>
        <w:tabs>
          <w:tab w:val="left" w:pos="780"/>
        </w:tabs>
        <w:ind w:left="780" w:hanging="360"/>
      </w:pPr>
      <w:rPr>
        <w:rFonts w:hint="default" w:ascii="Wingdings" w:hAnsi="Wingdings"/>
      </w:rPr>
    </w:lvl>
  </w:abstractNum>
  <w:abstractNum w:abstractNumId="5">
    <w:nsid w:val="098EC90E"/>
    <w:multiLevelType w:val="singleLevel"/>
    <w:tmpl w:val="098EC90E"/>
    <w:lvl w:ilvl="0" w:tentative="0">
      <w:start w:val="1"/>
      <w:numFmt w:val="decimal"/>
      <w:suff w:val="nothing"/>
      <w:lvlText w:val="%1、"/>
      <w:lvlJc w:val="left"/>
    </w:lvl>
  </w:abstractNum>
  <w:abstractNum w:abstractNumId="6">
    <w:nsid w:val="1F650EE3"/>
    <w:multiLevelType w:val="singleLevel"/>
    <w:tmpl w:val="1F650EE3"/>
    <w:lvl w:ilvl="0" w:tentative="0">
      <w:start w:val="5"/>
      <w:numFmt w:val="decimal"/>
      <w:suff w:val="nothing"/>
      <w:lvlText w:val="%1、"/>
      <w:lvlJc w:val="left"/>
    </w:lvl>
  </w:abstractNum>
  <w:abstractNum w:abstractNumId="7">
    <w:nsid w:val="4F7E56B3"/>
    <w:multiLevelType w:val="singleLevel"/>
    <w:tmpl w:val="4F7E56B3"/>
    <w:lvl w:ilvl="0" w:tentative="0">
      <w:start w:val="1"/>
      <w:numFmt w:val="decimal"/>
      <w:suff w:val="nothing"/>
      <w:lvlText w:val="%1、"/>
      <w:lvlJc w:val="left"/>
      <w:pPr>
        <w:ind w:left="358"/>
      </w:pPr>
    </w:lvl>
  </w:abstractNum>
  <w:num w:numId="1">
    <w:abstractNumId w:val="4"/>
  </w:num>
  <w:num w:numId="2">
    <w:abstractNumId w:val="5"/>
  </w:num>
  <w:num w:numId="3">
    <w:abstractNumId w:val="2"/>
  </w:num>
  <w:num w:numId="4">
    <w:abstractNumId w:val="6"/>
  </w:num>
  <w:num w:numId="5">
    <w:abstractNumId w:val="3"/>
  </w:num>
  <w:num w:numId="6">
    <w:abstractNumId w:val="1"/>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dit="forms" w:enforcement="1" w:cryptProviderType="rsaFull" w:cryptAlgorithmClass="hash" w:cryptAlgorithmType="typeAny" w:cryptAlgorithmSid="4" w:cryptSpinCount="0" w:hash="/e1ldG7NhCJon2dMJH0y98OXCf0=" w:salt="RCsjBfO+NzdcND4TDs9Ajw=="/>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1F19AB"/>
    <w:rsid w:val="016B5AF9"/>
    <w:rsid w:val="01A249C3"/>
    <w:rsid w:val="03207384"/>
    <w:rsid w:val="037C26B8"/>
    <w:rsid w:val="056B3221"/>
    <w:rsid w:val="05C2670F"/>
    <w:rsid w:val="06D27E9C"/>
    <w:rsid w:val="07DD4982"/>
    <w:rsid w:val="088367FC"/>
    <w:rsid w:val="08BD7E26"/>
    <w:rsid w:val="09815580"/>
    <w:rsid w:val="0A5E4A38"/>
    <w:rsid w:val="0ABA19EE"/>
    <w:rsid w:val="0B017CE9"/>
    <w:rsid w:val="0B2E519E"/>
    <w:rsid w:val="0BAB4DCA"/>
    <w:rsid w:val="0BCF2D16"/>
    <w:rsid w:val="0C550E43"/>
    <w:rsid w:val="0C756FEA"/>
    <w:rsid w:val="0E604325"/>
    <w:rsid w:val="110C7379"/>
    <w:rsid w:val="116A1D1E"/>
    <w:rsid w:val="120600E8"/>
    <w:rsid w:val="120D52C6"/>
    <w:rsid w:val="131961E1"/>
    <w:rsid w:val="14707322"/>
    <w:rsid w:val="16263F9B"/>
    <w:rsid w:val="164D5907"/>
    <w:rsid w:val="16807D7F"/>
    <w:rsid w:val="177F3A2A"/>
    <w:rsid w:val="17C37ADB"/>
    <w:rsid w:val="19406F8C"/>
    <w:rsid w:val="196E6BC6"/>
    <w:rsid w:val="19987BD0"/>
    <w:rsid w:val="19AD6838"/>
    <w:rsid w:val="1ACF6B75"/>
    <w:rsid w:val="1B5902EE"/>
    <w:rsid w:val="1B62021E"/>
    <w:rsid w:val="1DA91839"/>
    <w:rsid w:val="1FAB3245"/>
    <w:rsid w:val="209E5C9D"/>
    <w:rsid w:val="218E5620"/>
    <w:rsid w:val="234F08C0"/>
    <w:rsid w:val="243F4A76"/>
    <w:rsid w:val="252270F4"/>
    <w:rsid w:val="25A12466"/>
    <w:rsid w:val="25B807EC"/>
    <w:rsid w:val="2610165F"/>
    <w:rsid w:val="29E140FE"/>
    <w:rsid w:val="2A047719"/>
    <w:rsid w:val="2A113092"/>
    <w:rsid w:val="2D455153"/>
    <w:rsid w:val="2DF41DE6"/>
    <w:rsid w:val="2E6534B6"/>
    <w:rsid w:val="2FBA0649"/>
    <w:rsid w:val="2FE52707"/>
    <w:rsid w:val="302452D7"/>
    <w:rsid w:val="316F0A0E"/>
    <w:rsid w:val="320B3D17"/>
    <w:rsid w:val="32EB17B2"/>
    <w:rsid w:val="35BC0250"/>
    <w:rsid w:val="36001312"/>
    <w:rsid w:val="37327EF9"/>
    <w:rsid w:val="379964FF"/>
    <w:rsid w:val="38CD38D3"/>
    <w:rsid w:val="39AF277B"/>
    <w:rsid w:val="39F37955"/>
    <w:rsid w:val="3AC716DD"/>
    <w:rsid w:val="3AD43195"/>
    <w:rsid w:val="3B0A4FA8"/>
    <w:rsid w:val="3B6219CB"/>
    <w:rsid w:val="3CA81CBD"/>
    <w:rsid w:val="3D377695"/>
    <w:rsid w:val="3D7021B3"/>
    <w:rsid w:val="3DC65BE7"/>
    <w:rsid w:val="3DDE07BC"/>
    <w:rsid w:val="3DE73E32"/>
    <w:rsid w:val="3E653F45"/>
    <w:rsid w:val="3FA82D0E"/>
    <w:rsid w:val="40C1308E"/>
    <w:rsid w:val="40F300DA"/>
    <w:rsid w:val="428242AC"/>
    <w:rsid w:val="44770A59"/>
    <w:rsid w:val="44E7216A"/>
    <w:rsid w:val="45337098"/>
    <w:rsid w:val="480C42C3"/>
    <w:rsid w:val="480E5EDB"/>
    <w:rsid w:val="48555B0C"/>
    <w:rsid w:val="486D25A8"/>
    <w:rsid w:val="4A627843"/>
    <w:rsid w:val="4A9401EE"/>
    <w:rsid w:val="4B0C11B6"/>
    <w:rsid w:val="4C504904"/>
    <w:rsid w:val="4CF07442"/>
    <w:rsid w:val="4D185A72"/>
    <w:rsid w:val="4DD97983"/>
    <w:rsid w:val="4F5B2940"/>
    <w:rsid w:val="502179C6"/>
    <w:rsid w:val="50411544"/>
    <w:rsid w:val="53734F96"/>
    <w:rsid w:val="542D6876"/>
    <w:rsid w:val="5639670D"/>
    <w:rsid w:val="5A3D3D89"/>
    <w:rsid w:val="5A680652"/>
    <w:rsid w:val="5AC01473"/>
    <w:rsid w:val="5D370E49"/>
    <w:rsid w:val="61671D60"/>
    <w:rsid w:val="61C40F61"/>
    <w:rsid w:val="62433C63"/>
    <w:rsid w:val="62D5105E"/>
    <w:rsid w:val="63061303"/>
    <w:rsid w:val="64B9526E"/>
    <w:rsid w:val="655414D3"/>
    <w:rsid w:val="65F657B5"/>
    <w:rsid w:val="66485387"/>
    <w:rsid w:val="66533F6E"/>
    <w:rsid w:val="66BC340B"/>
    <w:rsid w:val="67E931CF"/>
    <w:rsid w:val="68294878"/>
    <w:rsid w:val="68B910F3"/>
    <w:rsid w:val="697B4B0D"/>
    <w:rsid w:val="6E573BAD"/>
    <w:rsid w:val="6E775E47"/>
    <w:rsid w:val="715A21F5"/>
    <w:rsid w:val="7194757D"/>
    <w:rsid w:val="71A95924"/>
    <w:rsid w:val="74281DAE"/>
    <w:rsid w:val="74A92964"/>
    <w:rsid w:val="756D1C2A"/>
    <w:rsid w:val="76515048"/>
    <w:rsid w:val="765E09BB"/>
    <w:rsid w:val="778F3536"/>
    <w:rsid w:val="7873542E"/>
    <w:rsid w:val="78B57239"/>
    <w:rsid w:val="7ADE2578"/>
    <w:rsid w:val="7BC822A1"/>
    <w:rsid w:val="7C4E672B"/>
    <w:rsid w:val="7C8909CB"/>
    <w:rsid w:val="7EF646CF"/>
    <w:rsid w:val="7EF66C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0" w:semiHidden="0" w:name="heading 2" w:locked="1"/>
    <w:lsdException w:qFormat="1" w:unhideWhenUsed="0" w:uiPriority="0" w:semiHidden="0" w:name="heading 3" w:locked="1"/>
    <w:lsdException w:qFormat="1" w:unhideWhenUsed="0" w:uiPriority="1" w:semiHidden="0" w:name="heading 4" w:locked="1"/>
    <w:lsdException w:qFormat="1" w:unhideWhenUsed="0" w:uiPriority="1" w:semiHidden="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unhideWhenUsed="0" w:uiPriority="0" w:semiHidden="0" w:name="toc 1" w:locked="1"/>
    <w:lsdException w:qFormat="1"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iPriority="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qFormat="1"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qFormat="1"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qFormat="1" w:unhideWhenUsed="0" w:uiPriority="0" w:semiHidden="0" w:name="Body Text Indent 2" w:locked="1"/>
    <w:lsdException w:qFormat="1" w:unhideWhenUsed="0" w:uiPriority="0" w:semiHidden="0" w:name="Body Text Indent 3" w:locked="1"/>
    <w:lsdException w:unhideWhenUsed="0" w:uiPriority="0" w:semiHidden="0" w:name="Block Text" w:locked="1"/>
    <w:lsdException w:qFormat="1"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qFormat="1" w:unhideWhenUsed="0" w:uiPriority="0" w:semiHidden="0" w:name="Document Map" w:locked="1"/>
    <w:lsdException w:qFormat="1" w:unhideWhenUsed="0" w:uiPriority="0" w:semiHidden="0" w:name="Plain Text" w:locked="1"/>
    <w:lsdException w:qFormat="1"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qFormat/>
    <w:locked/>
    <w:uiPriority w:val="0"/>
    <w:pPr>
      <w:keepLines/>
      <w:adjustRightInd w:val="0"/>
      <w:snapToGrid w:val="0"/>
      <w:spacing w:line="360" w:lineRule="auto"/>
      <w:ind w:firstLine="200"/>
      <w:textAlignment w:val="baseline"/>
      <w:outlineLvl w:val="1"/>
    </w:pPr>
    <w:rPr>
      <w:rFonts w:ascii="Times New Roman" w:hAnsi="Times New Roman" w:eastAsia="宋体"/>
      <w:b/>
      <w:kern w:val="0"/>
      <w:szCs w:val="20"/>
    </w:rPr>
  </w:style>
  <w:style w:type="paragraph" w:styleId="4">
    <w:name w:val="heading 3"/>
    <w:basedOn w:val="1"/>
    <w:next w:val="1"/>
    <w:qFormat/>
    <w:locked/>
    <w:uiPriority w:val="0"/>
    <w:pPr>
      <w:keepNext/>
      <w:keepLines/>
      <w:spacing w:before="260" w:after="260" w:line="416" w:lineRule="auto"/>
      <w:outlineLvl w:val="2"/>
    </w:pPr>
    <w:rPr>
      <w:b/>
      <w:bCs/>
      <w:sz w:val="32"/>
      <w:szCs w:val="32"/>
    </w:rPr>
  </w:style>
  <w:style w:type="paragraph" w:styleId="5">
    <w:name w:val="heading 4"/>
    <w:basedOn w:val="1"/>
    <w:next w:val="1"/>
    <w:qFormat/>
    <w:locked/>
    <w:uiPriority w:val="1"/>
    <w:pPr>
      <w:spacing w:before="66"/>
      <w:ind w:left="618"/>
      <w:outlineLvl w:val="3"/>
    </w:pPr>
    <w:rPr>
      <w:rFonts w:ascii="宋体" w:hAnsi="宋体" w:eastAsia="宋体" w:cs="宋体"/>
      <w:b/>
      <w:bCs/>
      <w:sz w:val="24"/>
      <w:szCs w:val="24"/>
      <w:u w:val="single" w:color="000000"/>
      <w:lang w:val="zh-CN" w:eastAsia="zh-CN" w:bidi="zh-CN"/>
    </w:rPr>
  </w:style>
  <w:style w:type="paragraph" w:styleId="6">
    <w:name w:val="heading 5"/>
    <w:basedOn w:val="1"/>
    <w:next w:val="1"/>
    <w:qFormat/>
    <w:locked/>
    <w:uiPriority w:val="1"/>
    <w:pPr>
      <w:outlineLvl w:val="4"/>
    </w:pPr>
    <w:rPr>
      <w:rFonts w:ascii="宋体" w:hAnsi="宋体" w:eastAsia="宋体" w:cs="宋体"/>
      <w:b/>
      <w:bCs/>
      <w:sz w:val="24"/>
      <w:szCs w:val="24"/>
      <w:lang w:val="zh-CN" w:eastAsia="zh-CN" w:bidi="zh-CN"/>
    </w:rPr>
  </w:style>
  <w:style w:type="character" w:default="1" w:styleId="33">
    <w:name w:val="Default Paragraph Font"/>
    <w:semiHidden/>
    <w:qFormat/>
    <w:uiPriority w:val="0"/>
  </w:style>
  <w:style w:type="table" w:default="1" w:styleId="31">
    <w:name w:val="Normal Table"/>
    <w:semiHidden/>
    <w:qFormat/>
    <w:uiPriority w:val="0"/>
    <w:tblPr>
      <w:tblCellMar>
        <w:top w:w="0" w:type="dxa"/>
        <w:left w:w="108" w:type="dxa"/>
        <w:bottom w:w="0" w:type="dxa"/>
        <w:right w:w="108" w:type="dxa"/>
      </w:tblCellMar>
    </w:tblPr>
  </w:style>
  <w:style w:type="paragraph" w:styleId="7">
    <w:name w:val="E-mail Signature"/>
    <w:basedOn w:val="1"/>
    <w:next w:val="8"/>
    <w:qFormat/>
    <w:locked/>
    <w:uiPriority w:val="0"/>
    <w:pPr>
      <w:spacing w:line="460" w:lineRule="exact"/>
      <w:ind w:firstLine="200"/>
    </w:pPr>
  </w:style>
  <w:style w:type="paragraph" w:customStyle="1" w:styleId="8">
    <w:name w:val="文章"/>
    <w:basedOn w:val="9"/>
    <w:next w:val="10"/>
    <w:qFormat/>
    <w:uiPriority w:val="0"/>
    <w:pPr>
      <w:widowControl/>
      <w:jc w:val="center"/>
    </w:pPr>
    <w:rPr>
      <w:sz w:val="26"/>
    </w:rPr>
  </w:style>
  <w:style w:type="paragraph" w:styleId="9">
    <w:name w:val="Body Text Indent"/>
    <w:basedOn w:val="1"/>
    <w:link w:val="40"/>
    <w:qFormat/>
    <w:uiPriority w:val="0"/>
    <w:pPr>
      <w:spacing w:after="120"/>
      <w:ind w:left="420" w:leftChars="200"/>
    </w:pPr>
    <w:rPr>
      <w:kern w:val="0"/>
      <w:sz w:val="24"/>
      <w:szCs w:val="20"/>
    </w:rPr>
  </w:style>
  <w:style w:type="paragraph" w:styleId="10">
    <w:name w:val="List"/>
    <w:basedOn w:val="1"/>
    <w:next w:val="11"/>
    <w:qFormat/>
    <w:locked/>
    <w:uiPriority w:val="0"/>
    <w:pPr>
      <w:ind w:left="200" w:hanging="200" w:hangingChars="200"/>
      <w:contextualSpacing/>
    </w:pPr>
  </w:style>
  <w:style w:type="paragraph" w:styleId="11">
    <w:name w:val="List Bullet 2"/>
    <w:basedOn w:val="1"/>
    <w:next w:val="12"/>
    <w:qFormat/>
    <w:locked/>
    <w:uiPriority w:val="0"/>
    <w:pPr>
      <w:numPr>
        <w:ilvl w:val="0"/>
        <w:numId w:val="1"/>
      </w:numPr>
    </w:pPr>
  </w:style>
  <w:style w:type="paragraph" w:customStyle="1" w:styleId="12">
    <w:name w:val="xl70"/>
    <w:basedOn w:val="1"/>
    <w:next w:val="13"/>
    <w:qFormat/>
    <w:uiPriority w:val="0"/>
    <w:pPr>
      <w:widowControl/>
      <w:spacing w:before="280" w:after="280" w:line="240" w:lineRule="auto"/>
    </w:pPr>
    <w:rPr>
      <w:rFonts w:ascii="宋体"/>
    </w:rPr>
  </w:style>
  <w:style w:type="paragraph" w:customStyle="1" w:styleId="13">
    <w:name w:val="正文缩进1"/>
    <w:basedOn w:val="1"/>
    <w:next w:val="14"/>
    <w:qFormat/>
    <w:uiPriority w:val="0"/>
    <w:pPr>
      <w:spacing w:line="240" w:lineRule="auto"/>
      <w:ind w:firstLine="420" w:firstLineChars="0"/>
    </w:pPr>
    <w:rPr>
      <w:sz w:val="21"/>
      <w:szCs w:val="20"/>
    </w:rPr>
  </w:style>
  <w:style w:type="paragraph" w:customStyle="1" w:styleId="14">
    <w:name w:val="td1"/>
    <w:basedOn w:val="1"/>
    <w:next w:val="1"/>
    <w:qFormat/>
    <w:uiPriority w:val="0"/>
    <w:pPr>
      <w:widowControl/>
      <w:spacing w:before="280" w:after="280" w:line="300" w:lineRule="atLeast"/>
      <w:ind w:firstLine="200"/>
    </w:pPr>
    <w:rPr>
      <w:color w:val="000000"/>
      <w:sz w:val="18"/>
    </w:rPr>
  </w:style>
  <w:style w:type="paragraph" w:styleId="15">
    <w:name w:val="Normal Indent"/>
    <w:basedOn w:val="1"/>
    <w:next w:val="1"/>
    <w:qFormat/>
    <w:locked/>
    <w:uiPriority w:val="0"/>
    <w:pPr>
      <w:spacing w:line="360" w:lineRule="auto"/>
      <w:ind w:firstLine="420"/>
    </w:pPr>
    <w:rPr>
      <w:sz w:val="24"/>
    </w:rPr>
  </w:style>
  <w:style w:type="paragraph" w:styleId="16">
    <w:name w:val="Document Map"/>
    <w:basedOn w:val="1"/>
    <w:link w:val="38"/>
    <w:qFormat/>
    <w:locked/>
    <w:uiPriority w:val="0"/>
    <w:rPr>
      <w:rFonts w:ascii="宋体"/>
      <w:sz w:val="18"/>
      <w:szCs w:val="18"/>
    </w:rPr>
  </w:style>
  <w:style w:type="paragraph" w:styleId="17">
    <w:name w:val="annotation text"/>
    <w:basedOn w:val="1"/>
    <w:link w:val="39"/>
    <w:semiHidden/>
    <w:qFormat/>
    <w:uiPriority w:val="0"/>
    <w:pPr>
      <w:jc w:val="left"/>
    </w:pPr>
    <w:rPr>
      <w:kern w:val="0"/>
      <w:sz w:val="24"/>
      <w:szCs w:val="20"/>
    </w:rPr>
  </w:style>
  <w:style w:type="paragraph" w:styleId="18">
    <w:name w:val="Body Text"/>
    <w:basedOn w:val="1"/>
    <w:link w:val="37"/>
    <w:qFormat/>
    <w:uiPriority w:val="0"/>
    <w:pPr>
      <w:widowControl/>
      <w:snapToGrid w:val="0"/>
      <w:spacing w:before="60" w:after="160" w:line="259" w:lineRule="auto"/>
      <w:ind w:right="113"/>
    </w:pPr>
    <w:rPr>
      <w:kern w:val="0"/>
      <w:sz w:val="18"/>
      <w:szCs w:val="20"/>
    </w:rPr>
  </w:style>
  <w:style w:type="paragraph" w:styleId="19">
    <w:name w:val="Plain Text"/>
    <w:basedOn w:val="1"/>
    <w:next w:val="1"/>
    <w:qFormat/>
    <w:locked/>
    <w:uiPriority w:val="0"/>
    <w:rPr>
      <w:rFonts w:ascii="宋体" w:hAnsi="Courier New"/>
      <w:szCs w:val="20"/>
    </w:rPr>
  </w:style>
  <w:style w:type="paragraph" w:styleId="20">
    <w:name w:val="Date"/>
    <w:basedOn w:val="1"/>
    <w:next w:val="1"/>
    <w:link w:val="41"/>
    <w:qFormat/>
    <w:uiPriority w:val="0"/>
    <w:pPr>
      <w:ind w:left="100" w:leftChars="2500"/>
    </w:pPr>
    <w:rPr>
      <w:kern w:val="0"/>
      <w:sz w:val="24"/>
      <w:szCs w:val="20"/>
    </w:rPr>
  </w:style>
  <w:style w:type="paragraph" w:styleId="21">
    <w:name w:val="Body Text Indent 2"/>
    <w:basedOn w:val="1"/>
    <w:qFormat/>
    <w:locked/>
    <w:uiPriority w:val="0"/>
    <w:pPr>
      <w:snapToGrid/>
      <w:spacing w:after="120" w:afterLines="0" w:line="480" w:lineRule="auto"/>
      <w:ind w:left="420" w:leftChars="200"/>
    </w:pPr>
  </w:style>
  <w:style w:type="paragraph" w:styleId="22">
    <w:name w:val="Balloon Text"/>
    <w:basedOn w:val="1"/>
    <w:link w:val="42"/>
    <w:semiHidden/>
    <w:qFormat/>
    <w:uiPriority w:val="0"/>
    <w:rPr>
      <w:kern w:val="0"/>
      <w:sz w:val="18"/>
      <w:szCs w:val="20"/>
    </w:rPr>
  </w:style>
  <w:style w:type="paragraph" w:styleId="23">
    <w:name w:val="footer"/>
    <w:basedOn w:val="1"/>
    <w:link w:val="43"/>
    <w:qFormat/>
    <w:uiPriority w:val="99"/>
    <w:pPr>
      <w:tabs>
        <w:tab w:val="center" w:pos="4153"/>
        <w:tab w:val="right" w:pos="8306"/>
      </w:tabs>
      <w:snapToGrid w:val="0"/>
      <w:jc w:val="left"/>
    </w:pPr>
    <w:rPr>
      <w:kern w:val="0"/>
      <w:sz w:val="18"/>
      <w:szCs w:val="20"/>
    </w:rPr>
  </w:style>
  <w:style w:type="paragraph" w:styleId="24">
    <w:name w:val="header"/>
    <w:basedOn w:val="1"/>
    <w:link w:val="44"/>
    <w:qFormat/>
    <w:uiPriority w:val="0"/>
    <w:pPr>
      <w:pBdr>
        <w:bottom w:val="single" w:color="auto" w:sz="6" w:space="1"/>
      </w:pBdr>
      <w:tabs>
        <w:tab w:val="center" w:pos="4153"/>
        <w:tab w:val="right" w:pos="8306"/>
      </w:tabs>
      <w:snapToGrid w:val="0"/>
      <w:jc w:val="center"/>
    </w:pPr>
    <w:rPr>
      <w:kern w:val="0"/>
      <w:sz w:val="18"/>
      <w:szCs w:val="20"/>
    </w:rPr>
  </w:style>
  <w:style w:type="paragraph" w:styleId="25">
    <w:name w:val="Subtitle"/>
    <w:basedOn w:val="1"/>
    <w:next w:val="1"/>
    <w:qFormat/>
    <w:locked/>
    <w:uiPriority w:val="0"/>
    <w:pPr>
      <w:ind w:firstLine="420"/>
      <w:jc w:val="center"/>
    </w:pPr>
    <w:rPr>
      <w:rFonts w:cs="Arial"/>
      <w:b/>
      <w:kern w:val="28"/>
      <w:sz w:val="21"/>
      <w:szCs w:val="32"/>
    </w:rPr>
  </w:style>
  <w:style w:type="paragraph" w:styleId="26">
    <w:name w:val="Body Text Indent 3"/>
    <w:basedOn w:val="1"/>
    <w:qFormat/>
    <w:locked/>
    <w:uiPriority w:val="0"/>
    <w:pPr>
      <w:keepNext w:val="0"/>
      <w:keepLines w:val="0"/>
      <w:widowControl w:val="0"/>
      <w:suppressLineNumbers w:val="0"/>
      <w:spacing w:after="120" w:afterAutospacing="0"/>
      <w:ind w:left="420" w:leftChars="200"/>
      <w:jc w:val="both"/>
    </w:pPr>
    <w:rPr>
      <w:rFonts w:hint="default" w:ascii="Times New Roman" w:hAnsi="Times New Roman" w:cs="Times New Roman"/>
      <w:kern w:val="2"/>
      <w:sz w:val="16"/>
      <w:szCs w:val="16"/>
      <w:lang w:val="en-US" w:eastAsia="zh-CN" w:bidi="ar"/>
    </w:rPr>
  </w:style>
  <w:style w:type="paragraph" w:styleId="27">
    <w:name w:val="toc 2"/>
    <w:basedOn w:val="1"/>
    <w:next w:val="1"/>
    <w:qFormat/>
    <w:locked/>
    <w:uiPriority w:val="0"/>
    <w:pPr>
      <w:ind w:left="240"/>
      <w:jc w:val="left"/>
    </w:pPr>
    <w:rPr>
      <w:rFonts w:ascii="Times New Roman" w:hAnsi="Times New Roman"/>
      <w:smallCaps/>
      <w:sz w:val="20"/>
      <w:szCs w:val="20"/>
    </w:rPr>
  </w:style>
  <w:style w:type="paragraph" w:styleId="28">
    <w:name w:val="Normal (Web)"/>
    <w:basedOn w:val="1"/>
    <w:link w:val="45"/>
    <w:qFormat/>
    <w:uiPriority w:val="0"/>
    <w:pPr>
      <w:widowControl/>
      <w:spacing w:before="100" w:beforeAutospacing="1" w:after="100" w:afterAutospacing="1"/>
      <w:jc w:val="left"/>
    </w:pPr>
    <w:rPr>
      <w:rFonts w:ascii="宋体" w:hAnsi="宋体"/>
      <w:kern w:val="0"/>
      <w:sz w:val="24"/>
      <w:szCs w:val="20"/>
    </w:rPr>
  </w:style>
  <w:style w:type="paragraph" w:styleId="29">
    <w:name w:val="annotation subject"/>
    <w:basedOn w:val="17"/>
    <w:next w:val="17"/>
    <w:link w:val="46"/>
    <w:semiHidden/>
    <w:qFormat/>
    <w:uiPriority w:val="0"/>
    <w:rPr>
      <w:b/>
      <w:kern w:val="2"/>
    </w:rPr>
  </w:style>
  <w:style w:type="paragraph" w:styleId="30">
    <w:name w:val="Body Text First Indent 2"/>
    <w:basedOn w:val="9"/>
    <w:next w:val="1"/>
    <w:qFormat/>
    <w:locked/>
    <w:uiPriority w:val="0"/>
    <w:pPr>
      <w:tabs>
        <w:tab w:val="left" w:pos="420"/>
        <w:tab w:val="left" w:pos="870"/>
        <w:tab w:val="left" w:pos="3150"/>
      </w:tabs>
      <w:autoSpaceDE w:val="0"/>
      <w:autoSpaceDN w:val="0"/>
      <w:adjustRightInd w:val="0"/>
      <w:spacing w:after="0" w:line="360" w:lineRule="auto"/>
      <w:ind w:left="0" w:leftChars="0" w:firstLine="567"/>
      <w:textAlignment w:val="baseline"/>
    </w:pPr>
    <w:rPr>
      <w:rFonts w:ascii="Verdana" w:hAnsi="仿宋_GB2312" w:cs="仿宋_GB2312"/>
      <w:sz w:val="24"/>
      <w:szCs w:val="28"/>
    </w:rPr>
  </w:style>
  <w:style w:type="table" w:styleId="32">
    <w:name w:val="Table Grid"/>
    <w:basedOn w:val="31"/>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page number"/>
    <w:basedOn w:val="33"/>
    <w:qFormat/>
    <w:locked/>
    <w:uiPriority w:val="0"/>
    <w:rPr>
      <w:rFonts w:ascii="Times New Roman" w:hAnsi="Times New Roman" w:eastAsia="宋体" w:cs="Times New Roman"/>
    </w:rPr>
  </w:style>
  <w:style w:type="character" w:styleId="35">
    <w:name w:val="Hyperlink"/>
    <w:basedOn w:val="33"/>
    <w:qFormat/>
    <w:locked/>
    <w:uiPriority w:val="0"/>
    <w:rPr>
      <w:rFonts w:ascii="Times New Roman" w:hAnsi="Times New Roman" w:eastAsia="宋体" w:cs="Times New Roman"/>
      <w:color w:val="0000FF"/>
      <w:u w:val="single"/>
    </w:rPr>
  </w:style>
  <w:style w:type="character" w:styleId="36">
    <w:name w:val="annotation reference"/>
    <w:semiHidden/>
    <w:qFormat/>
    <w:uiPriority w:val="0"/>
    <w:rPr>
      <w:rFonts w:ascii="Times New Roman" w:hAnsi="Times New Roman" w:eastAsia="宋体" w:cs="Times New Roman"/>
      <w:sz w:val="21"/>
    </w:rPr>
  </w:style>
  <w:style w:type="character" w:customStyle="1" w:styleId="37">
    <w:name w:val="正文文本 Char"/>
    <w:link w:val="18"/>
    <w:qFormat/>
    <w:locked/>
    <w:uiPriority w:val="0"/>
    <w:rPr>
      <w:rFonts w:ascii="Times New Roman" w:hAnsi="Times New Roman" w:eastAsia="宋体" w:cs="Times New Roman"/>
      <w:kern w:val="0"/>
      <w:sz w:val="18"/>
      <w:szCs w:val="20"/>
    </w:rPr>
  </w:style>
  <w:style w:type="character" w:customStyle="1" w:styleId="38">
    <w:name w:val="文档结构图 Char"/>
    <w:basedOn w:val="33"/>
    <w:link w:val="16"/>
    <w:qFormat/>
    <w:uiPriority w:val="0"/>
    <w:rPr>
      <w:rFonts w:ascii="宋体" w:hAnsi="Times New Roman" w:eastAsia="宋体" w:cs="Times New Roman"/>
      <w:sz w:val="18"/>
      <w:szCs w:val="18"/>
    </w:rPr>
  </w:style>
  <w:style w:type="character" w:customStyle="1" w:styleId="39">
    <w:name w:val="批注文字 Char"/>
    <w:link w:val="17"/>
    <w:qFormat/>
    <w:locked/>
    <w:uiPriority w:val="0"/>
    <w:rPr>
      <w:rFonts w:ascii="Times New Roman" w:hAnsi="Times New Roman" w:eastAsia="宋体" w:cs="Times New Roman"/>
      <w:kern w:val="0"/>
      <w:sz w:val="24"/>
      <w:szCs w:val="20"/>
    </w:rPr>
  </w:style>
  <w:style w:type="character" w:customStyle="1" w:styleId="40">
    <w:name w:val="正文文本缩进 Char"/>
    <w:link w:val="9"/>
    <w:semiHidden/>
    <w:qFormat/>
    <w:locked/>
    <w:uiPriority w:val="0"/>
    <w:rPr>
      <w:rFonts w:ascii="Times New Roman" w:hAnsi="Times New Roman" w:eastAsia="宋体" w:cs="Times New Roman"/>
      <w:kern w:val="0"/>
      <w:sz w:val="24"/>
      <w:szCs w:val="20"/>
    </w:rPr>
  </w:style>
  <w:style w:type="character" w:customStyle="1" w:styleId="41">
    <w:name w:val="日期 Char"/>
    <w:link w:val="20"/>
    <w:qFormat/>
    <w:locked/>
    <w:uiPriority w:val="0"/>
    <w:rPr>
      <w:rFonts w:ascii="Times New Roman" w:hAnsi="Times New Roman" w:eastAsia="宋体" w:cs="Times New Roman"/>
      <w:kern w:val="0"/>
      <w:sz w:val="24"/>
      <w:szCs w:val="20"/>
    </w:rPr>
  </w:style>
  <w:style w:type="character" w:customStyle="1" w:styleId="42">
    <w:name w:val="批注框文本 Char"/>
    <w:link w:val="22"/>
    <w:semiHidden/>
    <w:qFormat/>
    <w:locked/>
    <w:uiPriority w:val="0"/>
    <w:rPr>
      <w:rFonts w:ascii="Times New Roman" w:hAnsi="Times New Roman" w:eastAsia="宋体" w:cs="Times New Roman"/>
      <w:kern w:val="0"/>
      <w:sz w:val="18"/>
      <w:szCs w:val="20"/>
    </w:rPr>
  </w:style>
  <w:style w:type="character" w:customStyle="1" w:styleId="43">
    <w:name w:val="页脚 Char"/>
    <w:link w:val="23"/>
    <w:qFormat/>
    <w:locked/>
    <w:uiPriority w:val="99"/>
    <w:rPr>
      <w:rFonts w:ascii="Times New Roman" w:hAnsi="Times New Roman" w:eastAsia="宋体" w:cs="Times New Roman"/>
      <w:kern w:val="0"/>
      <w:sz w:val="18"/>
      <w:szCs w:val="20"/>
    </w:rPr>
  </w:style>
  <w:style w:type="character" w:customStyle="1" w:styleId="44">
    <w:name w:val="页眉 Char"/>
    <w:link w:val="24"/>
    <w:qFormat/>
    <w:locked/>
    <w:uiPriority w:val="0"/>
    <w:rPr>
      <w:rFonts w:ascii="Times New Roman" w:hAnsi="Times New Roman" w:eastAsia="宋体" w:cs="Times New Roman"/>
      <w:kern w:val="0"/>
      <w:sz w:val="18"/>
      <w:szCs w:val="20"/>
    </w:rPr>
  </w:style>
  <w:style w:type="character" w:customStyle="1" w:styleId="45">
    <w:name w:val="普通(网站) Char"/>
    <w:link w:val="28"/>
    <w:qFormat/>
    <w:locked/>
    <w:uiPriority w:val="0"/>
    <w:rPr>
      <w:rFonts w:ascii="宋体" w:hAnsi="宋体" w:eastAsia="宋体" w:cs="Times New Roman"/>
      <w:kern w:val="0"/>
      <w:sz w:val="24"/>
      <w:szCs w:val="20"/>
    </w:rPr>
  </w:style>
  <w:style w:type="character" w:customStyle="1" w:styleId="46">
    <w:name w:val="批注主题 Char"/>
    <w:link w:val="29"/>
    <w:semiHidden/>
    <w:qFormat/>
    <w:locked/>
    <w:uiPriority w:val="0"/>
    <w:rPr>
      <w:rFonts w:ascii="Times New Roman" w:hAnsi="Times New Roman" w:eastAsia="宋体" w:cs="Times New Roman"/>
      <w:b/>
      <w:kern w:val="2"/>
    </w:rPr>
  </w:style>
  <w:style w:type="character" w:customStyle="1" w:styleId="47">
    <w:name w:val="正文文本 字符1"/>
    <w:semiHidden/>
    <w:qFormat/>
    <w:uiPriority w:val="0"/>
    <w:rPr>
      <w:rFonts w:ascii="Times New Roman" w:hAnsi="Times New Roman" w:eastAsia="宋体" w:cs="Times New Roman"/>
      <w:sz w:val="24"/>
    </w:rPr>
  </w:style>
  <w:style w:type="character" w:customStyle="1" w:styleId="48">
    <w:name w:val="font11"/>
    <w:basedOn w:val="33"/>
    <w:qFormat/>
    <w:uiPriority w:val="0"/>
    <w:rPr>
      <w:rFonts w:hint="eastAsia" w:ascii="宋体" w:hAnsi="宋体" w:eastAsia="宋体" w:cs="宋体"/>
      <w:color w:val="000000"/>
      <w:sz w:val="21"/>
      <w:szCs w:val="21"/>
      <w:u w:val="none"/>
    </w:rPr>
  </w:style>
  <w:style w:type="character" w:customStyle="1" w:styleId="49">
    <w:name w:val="font21"/>
    <w:basedOn w:val="33"/>
    <w:qFormat/>
    <w:uiPriority w:val="0"/>
    <w:rPr>
      <w:rFonts w:hint="default" w:ascii="Times New Roman" w:hAnsi="Times New Roman" w:eastAsia="宋体" w:cs="Times New Roman"/>
      <w:color w:val="000000"/>
      <w:sz w:val="21"/>
      <w:szCs w:val="21"/>
      <w:u w:val="none"/>
    </w:rPr>
  </w:style>
  <w:style w:type="character" w:customStyle="1" w:styleId="50">
    <w:name w:val="15"/>
    <w:basedOn w:val="33"/>
    <w:qFormat/>
    <w:uiPriority w:val="0"/>
    <w:rPr>
      <w:rFonts w:hint="default" w:ascii="Times New Roman" w:hAnsi="Times New Roman" w:eastAsia="宋体" w:cs="Times New Roman"/>
    </w:rPr>
  </w:style>
  <w:style w:type="character" w:customStyle="1" w:styleId="51">
    <w:name w:val="日期 字符"/>
    <w:semiHidden/>
    <w:qFormat/>
    <w:uiPriority w:val="0"/>
    <w:rPr>
      <w:rFonts w:ascii="Times New Roman" w:hAnsi="Times New Roman" w:eastAsia="宋体" w:cs="Times New Roman"/>
      <w:sz w:val="24"/>
    </w:rPr>
  </w:style>
  <w:style w:type="character" w:customStyle="1" w:styleId="52">
    <w:name w:val="页脚 字符"/>
    <w:basedOn w:val="33"/>
    <w:qFormat/>
    <w:uiPriority w:val="99"/>
    <w:rPr>
      <w:rFonts w:ascii="Times New Roman" w:hAnsi="Times New Roman" w:eastAsia="宋体" w:cs="Times New Roman"/>
    </w:rPr>
  </w:style>
  <w:style w:type="character" w:customStyle="1" w:styleId="53">
    <w:name w:val="表格 Char"/>
    <w:link w:val="54"/>
    <w:qFormat/>
    <w:locked/>
    <w:uiPriority w:val="0"/>
    <w:rPr>
      <w:rFonts w:ascii="宋体" w:hAnsi="Times New Roman" w:eastAsia="宋体" w:cs="Times New Roman"/>
      <w:kern w:val="0"/>
      <w:szCs w:val="20"/>
    </w:rPr>
  </w:style>
  <w:style w:type="paragraph" w:customStyle="1" w:styleId="54">
    <w:name w:val="表格"/>
    <w:basedOn w:val="1"/>
    <w:next w:val="1"/>
    <w:link w:val="53"/>
    <w:qFormat/>
    <w:uiPriority w:val="0"/>
    <w:pPr>
      <w:adjustRightInd w:val="0"/>
      <w:snapToGrid w:val="0"/>
      <w:spacing w:beforeLines="10" w:afterLines="10" w:line="259" w:lineRule="auto"/>
      <w:jc w:val="center"/>
    </w:pPr>
    <w:rPr>
      <w:rFonts w:ascii="宋体"/>
      <w:kern w:val="0"/>
      <w:szCs w:val="20"/>
    </w:rPr>
  </w:style>
  <w:style w:type="character" w:customStyle="1" w:styleId="55">
    <w:name w:val="批注文字 字符1"/>
    <w:semiHidden/>
    <w:qFormat/>
    <w:uiPriority w:val="0"/>
    <w:rPr>
      <w:rFonts w:ascii="Times New Roman" w:hAnsi="Times New Roman" w:eastAsia="宋体" w:cs="Times New Roman"/>
      <w:sz w:val="24"/>
    </w:rPr>
  </w:style>
  <w:style w:type="character" w:customStyle="1" w:styleId="56">
    <w:name w:val="10"/>
    <w:basedOn w:val="33"/>
    <w:qFormat/>
    <w:uiPriority w:val="0"/>
    <w:rPr>
      <w:rFonts w:hint="default" w:ascii="Times New Roman" w:hAnsi="Times New Roman" w:eastAsia="宋体" w:cs="Times New Roman"/>
    </w:rPr>
  </w:style>
  <w:style w:type="paragraph" w:customStyle="1" w:styleId="57">
    <w:name w:val="1正文"/>
    <w:basedOn w:val="1"/>
    <w:qFormat/>
    <w:uiPriority w:val="0"/>
    <w:pPr>
      <w:keepNext w:val="0"/>
      <w:keepLines w:val="0"/>
      <w:widowControl w:val="0"/>
      <w:suppressLineNumbers w:val="0"/>
      <w:snapToGrid w:val="0"/>
      <w:spacing w:before="0" w:beforeAutospacing="0" w:after="0" w:afterAutospacing="0" w:line="360" w:lineRule="auto"/>
      <w:ind w:left="0" w:right="0" w:firstLine="480" w:firstLineChars="200"/>
      <w:jc w:val="both"/>
    </w:pPr>
    <w:rPr>
      <w:rFonts w:hint="default" w:ascii="Times New Roman" w:hAnsi="宋体" w:cs="Times New Roman"/>
      <w:snapToGrid/>
      <w:kern w:val="0"/>
      <w:sz w:val="24"/>
      <w:szCs w:val="24"/>
      <w:lang w:val="en-US" w:eastAsia="zh-CN" w:bidi="ar"/>
    </w:rPr>
  </w:style>
  <w:style w:type="paragraph" w:customStyle="1" w:styleId="58">
    <w:name w:val="表文"/>
    <w:basedOn w:val="1"/>
    <w:qFormat/>
    <w:uiPriority w:val="0"/>
    <w:pPr>
      <w:keepNext w:val="0"/>
      <w:keepLines w:val="0"/>
      <w:widowControl w:val="0"/>
      <w:suppressLineNumbers w:val="0"/>
      <w:autoSpaceDE w:val="0"/>
      <w:autoSpaceDN w:val="0"/>
      <w:adjustRightInd w:val="0"/>
      <w:spacing w:before="0" w:beforeAutospacing="0" w:after="0" w:afterAutospacing="0" w:line="360" w:lineRule="atLeast"/>
      <w:ind w:left="0" w:right="0"/>
      <w:jc w:val="center"/>
      <w:textAlignment w:val="baseline"/>
    </w:pPr>
    <w:rPr>
      <w:rFonts w:hint="eastAsia" w:ascii="宋体" w:hAnsi="Tms Rmn" w:eastAsia="宋体" w:cs="宋体"/>
      <w:kern w:val="0"/>
      <w:sz w:val="24"/>
      <w:szCs w:val="24"/>
      <w:lang w:val="en-US" w:eastAsia="zh-CN" w:bidi="ar"/>
    </w:rPr>
  </w:style>
  <w:style w:type="paragraph" w:customStyle="1" w:styleId="59">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60">
    <w:name w:val="mm正文"/>
    <w:basedOn w:val="1"/>
    <w:qFormat/>
    <w:uiPriority w:val="0"/>
    <w:pPr>
      <w:keepNext w:val="0"/>
      <w:keepLines w:val="0"/>
      <w:widowControl w:val="0"/>
      <w:suppressLineNumbers w:val="0"/>
      <w:spacing w:before="0" w:beforeAutospacing="0" w:after="0" w:afterAutospacing="0" w:line="480" w:lineRule="exact"/>
      <w:ind w:left="0" w:right="0" w:firstLine="200" w:firstLineChars="200"/>
      <w:jc w:val="both"/>
    </w:pPr>
    <w:rPr>
      <w:rFonts w:hint="default" w:ascii="Times New Roman" w:hAnsi="Times New Roman" w:eastAsia="宋体" w:cs="Times New Roman"/>
      <w:color w:val="000000"/>
      <w:kern w:val="2"/>
      <w:sz w:val="21"/>
      <w:szCs w:val="21"/>
      <w:lang w:val="en-US" w:eastAsia="zh-CN" w:bidi="ar"/>
    </w:rPr>
  </w:style>
  <w:style w:type="paragraph" w:customStyle="1" w:styleId="61">
    <w:name w:val="报告表正文"/>
    <w:basedOn w:val="1"/>
    <w:qFormat/>
    <w:uiPriority w:val="0"/>
    <w:pPr>
      <w:keepNext w:val="0"/>
      <w:keepLines w:val="0"/>
      <w:widowControl w:val="0"/>
      <w:suppressLineNumbers w:val="0"/>
      <w:adjustRightInd w:val="0"/>
      <w:spacing w:line="312" w:lineRule="auto"/>
      <w:ind w:left="113" w:right="113" w:firstLine="482"/>
      <w:jc w:val="left"/>
      <w:textAlignment w:val="baseline"/>
    </w:pPr>
    <w:rPr>
      <w:rFonts w:hint="default" w:ascii="Calibri" w:hAnsi="Calibri" w:cs="Calibri"/>
      <w:kern w:val="0"/>
      <w:sz w:val="24"/>
      <w:szCs w:val="24"/>
      <w:lang w:val="en-US" w:eastAsia="zh-CN" w:bidi="ar"/>
    </w:rPr>
  </w:style>
  <w:style w:type="paragraph" w:customStyle="1" w:styleId="62">
    <w:name w:val="文本框样式"/>
    <w:basedOn w:val="1"/>
    <w:qFormat/>
    <w:uiPriority w:val="0"/>
    <w:pPr>
      <w:spacing w:line="240" w:lineRule="auto"/>
      <w:ind w:firstLine="0" w:firstLineChars="0"/>
      <w:jc w:val="center"/>
    </w:pPr>
    <w:rPr>
      <w:sz w:val="21"/>
    </w:rPr>
  </w:style>
  <w:style w:type="paragraph" w:customStyle="1" w:styleId="63">
    <w:name w:val="文本12"/>
    <w:basedOn w:val="1"/>
    <w:qFormat/>
    <w:uiPriority w:val="0"/>
    <w:pPr>
      <w:adjustRightInd w:val="0"/>
      <w:snapToGrid w:val="0"/>
      <w:ind w:firstLine="480" w:firstLineChars="200"/>
      <w:textAlignment w:val="baseline"/>
    </w:pPr>
    <w:rPr>
      <w:bCs/>
      <w:color w:val="000000"/>
    </w:rPr>
  </w:style>
  <w:style w:type="paragraph" w:customStyle="1" w:styleId="64">
    <w:name w:val="font6"/>
    <w:next w:val="27"/>
    <w:qFormat/>
    <w:uiPriority w:val="0"/>
    <w:pPr>
      <w:spacing w:before="280" w:after="280"/>
      <w:jc w:val="both"/>
    </w:pPr>
    <w:rPr>
      <w:rFonts w:ascii="Times New Roman" w:hAnsi="Times New Roman" w:eastAsia="宋体" w:cs="Times New Roman"/>
      <w:kern w:val="2"/>
      <w:sz w:val="21"/>
      <w:szCs w:val="22"/>
      <w:lang w:val="en-US" w:eastAsia="zh-CN" w:bidi="ar-SA"/>
    </w:rPr>
  </w:style>
  <w:style w:type="paragraph" w:customStyle="1" w:styleId="65">
    <w:name w:val="纯文本13"/>
    <w:basedOn w:val="1"/>
    <w:qFormat/>
    <w:uiPriority w:val="0"/>
    <w:pPr>
      <w:adjustRightInd w:val="0"/>
      <w:ind w:firstLine="0"/>
      <w:jc w:val="center"/>
      <w:textAlignment w:val="baseline"/>
    </w:pPr>
    <w:rPr>
      <w:rFonts w:ascii="宋体" w:hAnsi="Courier New"/>
    </w:rPr>
  </w:style>
  <w:style w:type="paragraph" w:customStyle="1" w:styleId="66">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67">
    <w:name w:val="表格1"/>
    <w:basedOn w:val="1"/>
    <w:qFormat/>
    <w:uiPriority w:val="0"/>
    <w:pPr>
      <w:adjustRightInd w:val="0"/>
      <w:spacing w:after="120" w:line="20" w:lineRule="atLeast"/>
      <w:jc w:val="center"/>
      <w:textAlignment w:val="baseline"/>
    </w:pPr>
    <w:rPr>
      <w:rFonts w:ascii="仿宋体"/>
      <w:color w:val="000000"/>
      <w:kern w:val="0"/>
      <w:sz w:val="20"/>
      <w:szCs w:val="20"/>
    </w:rPr>
  </w:style>
  <w:style w:type="paragraph" w:customStyle="1" w:styleId="68">
    <w:name w:val="表格文字"/>
    <w:basedOn w:val="1"/>
    <w:qFormat/>
    <w:uiPriority w:val="0"/>
    <w:pPr>
      <w:spacing w:line="240" w:lineRule="auto"/>
      <w:ind w:firstLine="0" w:firstLineChars="0"/>
      <w:jc w:val="center"/>
    </w:pPr>
    <w:rPr>
      <w:position w:val="-20"/>
      <w:sz w:val="21"/>
      <w:szCs w:val="21"/>
    </w:rPr>
  </w:style>
  <w:style w:type="paragraph" w:customStyle="1" w:styleId="69">
    <w:name w:val="样式正文无级"/>
    <w:basedOn w:val="1"/>
    <w:qFormat/>
    <w:uiPriority w:val="0"/>
    <w:pPr>
      <w:spacing w:line="360" w:lineRule="auto"/>
      <w:ind w:firstLine="480" w:firstLineChars="200"/>
    </w:pPr>
    <w:rPr>
      <w:szCs w:val="24"/>
    </w:rPr>
  </w:style>
  <w:style w:type="paragraph" w:customStyle="1" w:styleId="70">
    <w:name w:val="_Style 69"/>
    <w:unhideWhenUsed/>
    <w:qFormat/>
    <w:uiPriority w:val="99"/>
    <w:rPr>
      <w:rFonts w:ascii="Times New Roman" w:hAnsi="Times New Roman" w:eastAsia="宋体" w:cs="Times New Roman"/>
      <w:kern w:val="2"/>
      <w:sz w:val="21"/>
      <w:szCs w:val="24"/>
      <w:lang w:val="en-US" w:eastAsia="zh-CN" w:bidi="ar-SA"/>
    </w:rPr>
  </w:style>
  <w:style w:type="paragraph" w:customStyle="1" w:styleId="71">
    <w:name w:val="样式 标题 3标题 3 Char标题3H3h33rd level第二层条三级标题ReHead 3 WSA头..."/>
    <w:basedOn w:val="4"/>
    <w:qFormat/>
    <w:uiPriority w:val="0"/>
    <w:pPr>
      <w:widowControl/>
      <w:spacing w:before="260" w:after="260" w:line="415" w:lineRule="auto"/>
      <w:jc w:val="left"/>
    </w:pPr>
    <w:rPr>
      <w:rFonts w:ascii="Times New Roman" w:hAnsi="Times New Roman" w:eastAsia="黑体" w:cs="宋体"/>
      <w:color w:val="FF0000"/>
      <w:kern w:val="0"/>
      <w:lang w:val="en-US" w:eastAsia="zh-CN"/>
    </w:rPr>
  </w:style>
  <w:style w:type="paragraph" w:customStyle="1" w:styleId="72">
    <w:name w:val="纯文本1"/>
    <w:basedOn w:val="1"/>
    <w:qFormat/>
    <w:uiPriority w:val="0"/>
    <w:pPr>
      <w:adjustRightInd w:val="0"/>
      <w:ind w:firstLine="0"/>
      <w:jc w:val="center"/>
      <w:textAlignment w:val="baseline"/>
    </w:pPr>
    <w:rPr>
      <w:rFonts w:ascii="宋体" w:hAnsi="Courier New"/>
    </w:rPr>
  </w:style>
  <w:style w:type="paragraph" w:customStyle="1" w:styleId="73">
    <w:name w:val="样式12"/>
    <w:basedOn w:val="71"/>
    <w:qFormat/>
    <w:uiPriority w:val="0"/>
    <w:pPr>
      <w:tabs>
        <w:tab w:val="left" w:pos="1008"/>
        <w:tab w:val="left" w:pos="2570"/>
      </w:tabs>
      <w:ind w:firstLine="200" w:firstLineChars="200"/>
    </w:pPr>
    <w:rPr>
      <w:rFonts w:eastAsia="宋体"/>
    </w:rPr>
  </w:style>
  <w:style w:type="paragraph" w:customStyle="1" w:styleId="74">
    <w:name w:val="表格名称"/>
    <w:basedOn w:val="1"/>
    <w:qFormat/>
    <w:uiPriority w:val="0"/>
    <w:pPr>
      <w:keepNext/>
      <w:keepLines/>
      <w:wordWrap w:val="0"/>
      <w:topLinePunct/>
      <w:adjustRightInd w:val="0"/>
      <w:spacing w:line="240" w:lineRule="auto"/>
      <w:ind w:firstLine="0" w:firstLineChars="0"/>
      <w:jc w:val="center"/>
    </w:pPr>
    <w:rPr>
      <w:rFonts w:ascii="Times New Roman" w:hAnsi="Times New Roman" w:eastAsia="宋体"/>
      <w:b/>
    </w:rPr>
  </w:style>
  <w:style w:type="paragraph" w:customStyle="1" w:styleId="75">
    <w:name w:val="正 文"/>
    <w:qFormat/>
    <w:uiPriority w:val="0"/>
    <w:pPr>
      <w:widowControl w:val="0"/>
      <w:spacing w:line="360" w:lineRule="auto"/>
      <w:ind w:firstLine="480" w:firstLineChars="200"/>
    </w:pPr>
    <w:rPr>
      <w:rFonts w:ascii="Calibri" w:hAnsi="Calibri" w:eastAsia="宋体" w:cs="宋体"/>
      <w:kern w:val="2"/>
      <w:sz w:val="24"/>
      <w:szCs w:val="24"/>
      <w:lang w:val="en-US" w:eastAsia="zh-CN" w:bidi="ar-SA"/>
    </w:rPr>
  </w:style>
  <w:style w:type="paragraph" w:customStyle="1" w:styleId="76">
    <w:name w:val="样式26"/>
    <w:basedOn w:val="77"/>
    <w:qFormat/>
    <w:uiPriority w:val="0"/>
    <w:pPr>
      <w:tabs>
        <w:tab w:val="left" w:pos="0"/>
        <w:tab w:val="left" w:pos="360"/>
        <w:tab w:val="left" w:pos="540"/>
        <w:tab w:val="left" w:pos="567"/>
        <w:tab w:val="left" w:pos="720"/>
        <w:tab w:val="left" w:pos="1008"/>
        <w:tab w:val="left" w:pos="2570"/>
      </w:tabs>
    </w:pPr>
  </w:style>
  <w:style w:type="paragraph" w:customStyle="1" w:styleId="77">
    <w:name w:val="样式21"/>
    <w:basedOn w:val="78"/>
    <w:qFormat/>
    <w:uiPriority w:val="0"/>
    <w:pPr>
      <w:tabs>
        <w:tab w:val="left" w:pos="360"/>
        <w:tab w:val="left" w:pos="540"/>
        <w:tab w:val="left" w:pos="720"/>
        <w:tab w:val="left" w:pos="1008"/>
        <w:tab w:val="left" w:pos="2570"/>
      </w:tabs>
      <w:spacing w:before="120" w:beforeLines="50" w:after="120" w:afterLines="50" w:line="360" w:lineRule="auto"/>
      <w:ind w:left="720" w:hanging="720"/>
      <w:outlineLvl w:val="2"/>
    </w:pPr>
    <w:rPr>
      <w:rFonts w:eastAsia="MS Mincho"/>
      <w:kern w:val="0"/>
      <w:sz w:val="24"/>
      <w:szCs w:val="32"/>
    </w:rPr>
  </w:style>
  <w:style w:type="paragraph" w:customStyle="1" w:styleId="78">
    <w:name w:val="样式5"/>
    <w:basedOn w:val="73"/>
    <w:qFormat/>
    <w:uiPriority w:val="0"/>
    <w:pPr>
      <w:ind w:left="482" w:firstLine="0" w:firstLineChars="0"/>
    </w:pPr>
    <w:rPr>
      <w:rFonts w:eastAsia="仿宋_GB2312"/>
      <w:b w:val="0"/>
    </w:rPr>
  </w:style>
  <w:style w:type="paragraph" w:customStyle="1" w:styleId="79">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0">
    <w:name w:val="Default"/>
    <w:basedOn w:val="72"/>
    <w:next w:val="81"/>
    <w:qFormat/>
    <w:uiPriority w:val="0"/>
    <w:pPr>
      <w:widowControl w:val="0"/>
      <w:autoSpaceDE w:val="0"/>
      <w:autoSpaceDN w:val="0"/>
      <w:adjustRightInd w:val="0"/>
    </w:pPr>
    <w:rPr>
      <w:rFonts w:hAnsi="Times New Roman" w:cs="宋体"/>
      <w:color w:val="000000"/>
      <w:kern w:val="0"/>
    </w:rPr>
  </w:style>
  <w:style w:type="paragraph" w:customStyle="1" w:styleId="81">
    <w:name w:val="样式35"/>
    <w:basedOn w:val="76"/>
    <w:next w:val="64"/>
    <w:qFormat/>
    <w:uiPriority w:val="0"/>
    <w:pPr>
      <w:adjustRightInd w:val="0"/>
      <w:spacing w:line="312" w:lineRule="auto"/>
      <w:ind w:firstLine="567"/>
      <w:textAlignment w:val="baseline"/>
    </w:pPr>
    <w:rPr>
      <w:rFonts w:ascii="宋体"/>
      <w:kern w:val="0"/>
      <w:sz w:val="28"/>
    </w:rPr>
  </w:style>
  <w:style w:type="paragraph" w:customStyle="1" w:styleId="82">
    <w:name w:val="Table Paragraph"/>
    <w:basedOn w:val="1"/>
    <w:qFormat/>
    <w:uiPriority w:val="1"/>
    <w:pPr>
      <w:jc w:val="center"/>
    </w:pPr>
    <w:rPr>
      <w:rFonts w:ascii="Times New Roman" w:hAnsi="Times New Roman" w:eastAsia="Times New Roman" w:cs="Times New Roman"/>
      <w:lang w:val="zh-CN" w:eastAsia="zh-CN" w:bidi="zh-CN"/>
    </w:rPr>
  </w:style>
  <w:style w:type="paragraph" w:styleId="83">
    <w:name w:val="List Paragraph"/>
    <w:basedOn w:val="1"/>
    <w:qFormat/>
    <w:uiPriority w:val="1"/>
    <w:pPr>
      <w:ind w:left="240" w:firstLine="480"/>
    </w:pPr>
    <w:rPr>
      <w:rFonts w:ascii="宋体" w:hAnsi="宋体" w:eastAsia="宋体" w:cs="宋体"/>
      <w:lang w:val="zh-CN" w:eastAsia="zh-CN" w:bidi="zh-CN"/>
    </w:rPr>
  </w:style>
  <w:style w:type="paragraph" w:customStyle="1" w:styleId="84">
    <w:name w:val="正文1"/>
    <w:basedOn w:val="1"/>
    <w:qFormat/>
    <w:uiPriority w:val="0"/>
    <w:pPr>
      <w:keepNext w:val="0"/>
      <w:keepLines w:val="0"/>
      <w:widowControl w:val="0"/>
      <w:suppressLineNumbers w:val="0"/>
      <w:adjustRightInd w:val="0"/>
      <w:spacing w:before="0" w:beforeAutospacing="0" w:after="0" w:afterAutospacing="0"/>
      <w:ind w:left="0" w:right="0" w:firstLine="0"/>
      <w:jc w:val="both"/>
    </w:pPr>
    <w:rPr>
      <w:rFonts w:hint="default" w:ascii="楷体_GB2312" w:eastAsia="楷体_GB2312" w:cs="楷体_GB2312"/>
      <w:kern w:val="2"/>
      <w:sz w:val="24"/>
      <w:szCs w:val="24"/>
      <w:lang w:val="en-US" w:eastAsia="zh-CN" w:bidi="ar"/>
    </w:rPr>
  </w:style>
  <w:style w:type="paragraph" w:customStyle="1" w:styleId="85">
    <w:name w:val="蓝森正文"/>
    <w:basedOn w:val="1"/>
    <w:qFormat/>
    <w:uiPriority w:val="0"/>
    <w:pPr>
      <w:spacing w:line="520" w:lineRule="exact"/>
      <w:ind w:firstLine="200" w:firstLineChars="200"/>
    </w:pPr>
    <w:rPr>
      <w:szCs w:val="24"/>
    </w:rPr>
  </w:style>
  <w:style w:type="paragraph" w:customStyle="1" w:styleId="86">
    <w:name w:val="mm表头"/>
    <w:basedOn w:val="1"/>
    <w:qFormat/>
    <w:uiPriority w:val="0"/>
    <w:pPr>
      <w:spacing w:line="480" w:lineRule="exact"/>
      <w:ind w:firstLine="0"/>
      <w:jc w:val="center"/>
    </w:pPr>
    <w:rPr>
      <w:rFonts w:eastAsia="黑体" w:cs="宋体"/>
      <w:bCs/>
      <w:color w:val="000000"/>
    </w:rPr>
  </w:style>
  <w:style w:type="paragraph" w:customStyle="1" w:styleId="87">
    <w:name w:val="表格 32"/>
    <w:basedOn w:val="1"/>
    <w:qFormat/>
    <w:uiPriority w:val="0"/>
    <w:pPr>
      <w:autoSpaceDE w:val="0"/>
      <w:autoSpaceDN w:val="0"/>
      <w:adjustRightInd w:val="0"/>
      <w:jc w:val="center"/>
      <w:textAlignment w:val="baseline"/>
    </w:pPr>
    <w:rPr>
      <w:rFonts w:ascii="宋?" w:hAnsi="Impact" w:eastAsia="宋?" w:cs="黑体"/>
      <w:kern w:val="24"/>
      <w:sz w:val="24"/>
      <w:szCs w:val="22"/>
    </w:rPr>
  </w:style>
  <w:style w:type="paragraph" w:customStyle="1" w:styleId="88">
    <w:name w:val="表格内"/>
    <w:basedOn w:val="25"/>
    <w:qFormat/>
    <w:uiPriority w:val="0"/>
    <w:pPr>
      <w:widowControl/>
      <w:spacing w:before="0" w:after="0" w:line="240" w:lineRule="auto"/>
      <w:outlineLvl w:val="9"/>
    </w:pPr>
    <w:rPr>
      <w:rFonts w:ascii="Times New Roman" w:hAnsi="Times New Roman"/>
      <w:b w:val="0"/>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footer" Target="footer1.xml"/><Relationship Id="rId29" Type="http://schemas.openxmlformats.org/officeDocument/2006/relationships/image" Target="media/image19.png"/><Relationship Id="rId28" Type="http://schemas.openxmlformats.org/officeDocument/2006/relationships/image" Target="media/image18.wmf"/><Relationship Id="rId27" Type="http://schemas.openxmlformats.org/officeDocument/2006/relationships/oleObject" Target="embeddings/oleObject4.bin"/><Relationship Id="rId26" Type="http://schemas.openxmlformats.org/officeDocument/2006/relationships/image" Target="media/image17.wmf"/><Relationship Id="rId25" Type="http://schemas.openxmlformats.org/officeDocument/2006/relationships/oleObject" Target="embeddings/oleObject3.bin"/><Relationship Id="rId24" Type="http://schemas.openxmlformats.org/officeDocument/2006/relationships/image" Target="media/image16.wmf"/><Relationship Id="rId23" Type="http://schemas.openxmlformats.org/officeDocument/2006/relationships/oleObject" Target="embeddings/oleObject2.bin"/><Relationship Id="rId22" Type="http://schemas.openxmlformats.org/officeDocument/2006/relationships/image" Target="media/image15.png"/><Relationship Id="rId21" Type="http://schemas.openxmlformats.org/officeDocument/2006/relationships/image" Target="media/image14.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jpe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68</Pages>
  <Words>11684</Words>
  <Characters>13062</Characters>
  <Lines>1</Lines>
  <Paragraphs>1</Paragraphs>
  <TotalTime>4</TotalTime>
  <ScaleCrop>false</ScaleCrop>
  <LinksUpToDate>false</LinksUpToDate>
  <CharactersWithSpaces>13186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2021-03-31T03:13:00Z</dcterms:created>
  <dc:creator>lhj</dc:creator>
  <cp:lastModifiedBy>WPS_1635772389</cp:lastModifiedBy>
  <cp:lastPrinted>2021-07-05T01:05:00Z</cp:lastPrinted>
  <dcterms:modified xsi:type="dcterms:W3CDTF">2026-09-17T02:52:35Z</dcterms:modified>
  <dc:title>附件2</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290214E4DA2C4D82904655E1D5649CE9_13</vt:lpwstr>
  </property>
  <property fmtid="{D5CDD505-2E9C-101B-9397-08002B2CF9AE}" pid="4" name="KSOTemplateDocerSaveRecord">
    <vt:lpwstr>eyJoZGlkIjoiNzI0OGY3MmQ5ZDI3YzUzZTZmNTRmYzEyOTNhZTRhNDYiLCJ1c2VySWQiOiIxMjkwOTQ1NzM5In0=</vt:lpwstr>
  </property>
</Properties>
</file>