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8AB9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仿宋简体" w:hAnsi="方正仿宋简体" w:eastAsia="方正仿宋简体" w:cs="方正仿宋简体"/>
          <w:sz w:val="34"/>
          <w:szCs w:val="34"/>
          <w:highlight w:val="none"/>
        </w:rPr>
      </w:pPr>
      <w:r>
        <w:rPr>
          <w:rFonts w:hint="eastAsia" w:ascii="方正仿宋简体" w:hAnsi="方正仿宋简体" w:eastAsia="方正仿宋简体" w:cs="方正仿宋简体"/>
          <w:sz w:val="34"/>
          <w:szCs w:val="34"/>
          <w:highlight w:val="none"/>
        </w:rPr>
        <w:t>附件1</w:t>
      </w:r>
    </w:p>
    <w:p w14:paraId="35198B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eastAsia="方正小标宋简体"/>
          <w:sz w:val="40"/>
          <w:szCs w:val="40"/>
          <w:highlight w:val="none"/>
        </w:rPr>
      </w:pPr>
      <w:r>
        <w:rPr>
          <w:rFonts w:hint="eastAsia" w:ascii="方正小标宋简体" w:eastAsia="方正小标宋简体"/>
          <w:sz w:val="40"/>
          <w:szCs w:val="40"/>
          <w:highlight w:val="none"/>
        </w:rPr>
        <w:t>“防返贫保险”保障项目参考清单</w:t>
      </w:r>
    </w:p>
    <w:p w14:paraId="136A72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宋体" w:hAnsi="宋体" w:eastAsia="方正楷体简体" w:cs="方正楷体简体"/>
          <w:sz w:val="28"/>
          <w:szCs w:val="28"/>
          <w:highlight w:val="none"/>
        </w:rPr>
      </w:pPr>
      <w:r>
        <w:rPr>
          <w:rFonts w:hint="eastAsia" w:ascii="宋体" w:hAnsi="宋体" w:eastAsia="方正楷体简体" w:cs="方正楷体简体"/>
          <w:sz w:val="28"/>
          <w:szCs w:val="28"/>
          <w:highlight w:val="none"/>
        </w:rPr>
        <w:t>（仅供参考）</w:t>
      </w:r>
    </w:p>
    <w:tbl>
      <w:tblPr>
        <w:tblStyle w:val="5"/>
        <w:tblW w:w="1041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7"/>
        <w:gridCol w:w="1365"/>
        <w:gridCol w:w="8186"/>
      </w:tblGrid>
      <w:tr w14:paraId="564F43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  <w:jc w:val="center"/>
        </w:trPr>
        <w:tc>
          <w:tcPr>
            <w:tcW w:w="22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A020B9">
            <w:pPr>
              <w:widowControl/>
              <w:jc w:val="center"/>
              <w:rPr>
                <w:rFonts w:ascii="黑体" w:hAnsi="黑体" w:eastAsia="黑体"/>
                <w:bCs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/>
                <w:bCs/>
                <w:color w:val="000000"/>
                <w:kern w:val="0"/>
                <w:sz w:val="24"/>
                <w:szCs w:val="24"/>
                <w:highlight w:val="none"/>
              </w:rPr>
              <w:t>保障责任</w:t>
            </w:r>
          </w:p>
        </w:tc>
        <w:tc>
          <w:tcPr>
            <w:tcW w:w="8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DAE969">
            <w:pPr>
              <w:widowControl/>
              <w:jc w:val="center"/>
              <w:rPr>
                <w:rFonts w:ascii="黑体" w:hAnsi="黑体" w:eastAsia="黑体"/>
                <w:bCs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/>
                <w:bCs/>
                <w:color w:val="000000"/>
                <w:kern w:val="0"/>
                <w:sz w:val="24"/>
                <w:szCs w:val="24"/>
                <w:highlight w:val="none"/>
              </w:rPr>
              <w:t>赔偿限额及免赔额约定</w:t>
            </w:r>
          </w:p>
        </w:tc>
      </w:tr>
      <w:tr w14:paraId="032767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8" w:hRule="atLeast"/>
          <w:jc w:val="center"/>
        </w:trPr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B738AD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szCs w:val="24"/>
                <w:highlight w:val="none"/>
              </w:rPr>
              <w:t>返贫救助金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C6985A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szCs w:val="24"/>
                <w:highlight w:val="none"/>
              </w:rPr>
              <w:t>收入补偿</w:t>
            </w:r>
          </w:p>
        </w:tc>
        <w:tc>
          <w:tcPr>
            <w:tcW w:w="8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252A59">
            <w:pPr>
              <w:widowControl/>
              <w:jc w:val="left"/>
              <w:rPr>
                <w:rFonts w:hint="eastAsia" w:ascii="仿宋_GB2312" w:hAnsi="宋体" w:eastAsia="仿宋_GB2312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highlight w:val="none"/>
              </w:rPr>
              <w:t>因自然灾害、意外事故、重大疾病、生产资料等因素造成家庭人均可支配收入低于当年监测标准</w:t>
            </w: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highlight w:val="none"/>
                <w:lang w:eastAsia="zh-CN"/>
              </w:rPr>
              <w:t>【</w:t>
            </w: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highlight w:val="none"/>
              </w:rPr>
              <w:t>202</w:t>
            </w: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highlight w:val="none"/>
                <w:lang w:val="en-US" w:eastAsia="zh-CN"/>
              </w:rPr>
              <w:t>6</w:t>
            </w: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highlight w:val="none"/>
              </w:rPr>
              <w:t>年</w:t>
            </w: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highlight w:val="none"/>
                <w:lang w:val="en-US" w:eastAsia="zh-CN"/>
              </w:rPr>
              <w:t>15650</w:t>
            </w: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highlight w:val="none"/>
              </w:rPr>
              <w:t>元</w:t>
            </w: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highlight w:val="none"/>
                <w:lang w:val="en-US" w:eastAsia="zh-CN"/>
              </w:rPr>
              <w:t>/人·年</w:t>
            </w: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highlight w:val="none"/>
                <w:lang w:eastAsia="zh-CN"/>
              </w:rPr>
              <w:t>（取整数）】</w:t>
            </w: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highlight w:val="none"/>
              </w:rPr>
              <w:t>，返贫保险金按如下标准赔付：</w:t>
            </w:r>
          </w:p>
          <w:p w14:paraId="03B3B5A1">
            <w:pPr>
              <w:widowControl/>
              <w:jc w:val="left"/>
              <w:rPr>
                <w:rFonts w:hint="eastAsia" w:ascii="仿宋_GB2312" w:hAnsi="宋体" w:eastAsia="仿宋_GB2312"/>
                <w:color w:val="000000"/>
                <w:kern w:val="0"/>
                <w:sz w:val="24"/>
                <w:highlight w:val="none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highlight w:val="none"/>
              </w:rPr>
              <w:t>（1）计算时间。家庭人均可支配收入计算时间：</w:t>
            </w: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highlight w:val="none"/>
                <w:lang w:val="en-US" w:eastAsia="zh-CN"/>
              </w:rPr>
              <w:t>2026</w:t>
            </w: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highlight w:val="none"/>
              </w:rPr>
              <w:t>年1月1日至</w:t>
            </w: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highlight w:val="none"/>
                <w:lang w:val="en-US" w:eastAsia="zh-CN"/>
              </w:rPr>
              <w:t>2026</w:t>
            </w: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highlight w:val="none"/>
              </w:rPr>
              <w:t>年12月31日；</w:t>
            </w:r>
          </w:p>
          <w:p w14:paraId="14A49D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highlight w:val="none"/>
              </w:rPr>
              <w:t>（2）有劳动能力对象每人赔付金额=当年监测标准</w:t>
            </w: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highlight w:val="none"/>
                <w:lang w:eastAsia="zh-CN"/>
              </w:rPr>
              <w:t>【</w:t>
            </w: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highlight w:val="none"/>
              </w:rPr>
              <w:t>202</w:t>
            </w: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highlight w:val="none"/>
                <w:lang w:val="en-US" w:eastAsia="zh-CN"/>
              </w:rPr>
              <w:t>6</w:t>
            </w: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highlight w:val="none"/>
              </w:rPr>
              <w:t>年1</w:t>
            </w: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highlight w:val="none"/>
                <w:lang w:val="en-US" w:eastAsia="zh-CN"/>
              </w:rPr>
              <w:t>5650</w:t>
            </w: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highlight w:val="none"/>
              </w:rPr>
              <w:t>元</w:t>
            </w: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highlight w:val="none"/>
                <w:lang w:val="en-US" w:eastAsia="zh-CN"/>
              </w:rPr>
              <w:t>/人·年（取整数】</w:t>
            </w: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highlight w:val="none"/>
              </w:rPr>
              <w:t>-该户实际人均可支配收入。</w:t>
            </w:r>
            <w:bookmarkStart w:id="0" w:name="_GoBack"/>
            <w:bookmarkEnd w:id="0"/>
          </w:p>
        </w:tc>
      </w:tr>
      <w:tr w14:paraId="703158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8" w:hRule="atLeast"/>
          <w:jc w:val="center"/>
        </w:trPr>
        <w:tc>
          <w:tcPr>
            <w:tcW w:w="86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C23484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szCs w:val="24"/>
                <w:highlight w:val="none"/>
              </w:rPr>
              <w:t>“医”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528CBD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szCs w:val="24"/>
                <w:highlight w:val="none"/>
              </w:rPr>
              <w:t>意外住院医疗费用</w:t>
            </w:r>
          </w:p>
        </w:tc>
        <w:tc>
          <w:tcPr>
            <w:tcW w:w="8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20DD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highlight w:val="none"/>
              </w:rPr>
              <w:t>意外伤害住院医疗赔偿限额2万/人，社保用药：年免赔额1500元，剩余自付部分给付比例为100%。</w:t>
            </w:r>
          </w:p>
        </w:tc>
      </w:tr>
      <w:tr w14:paraId="31F48B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  <w:jc w:val="center"/>
        </w:trPr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60573F8">
            <w:pPr>
              <w:widowControl/>
              <w:jc w:val="left"/>
              <w:rPr>
                <w:rFonts w:hint="eastAsia" w:ascii="仿宋_GB2312" w:hAnsi="宋体" w:eastAsia="仿宋_GB2312"/>
                <w:color w:val="000000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567181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szCs w:val="24"/>
                <w:highlight w:val="none"/>
              </w:rPr>
              <w:t>疾病住院津贴</w:t>
            </w:r>
          </w:p>
        </w:tc>
        <w:tc>
          <w:tcPr>
            <w:tcW w:w="8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8A6B9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highlight w:val="none"/>
              </w:rPr>
              <w:t>因疾病住院的，给予住院津贴每人每天100元，最高赔偿天数30天。（因既往病史住院的属除外责任）</w:t>
            </w:r>
          </w:p>
        </w:tc>
      </w:tr>
      <w:tr w14:paraId="179719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  <w:jc w:val="center"/>
        </w:trPr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DDE751B">
            <w:pPr>
              <w:widowControl/>
              <w:jc w:val="left"/>
              <w:rPr>
                <w:rFonts w:hint="eastAsia" w:ascii="仿宋_GB2312" w:hAnsi="宋体" w:eastAsia="仿宋_GB2312"/>
                <w:color w:val="000000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2D3824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szCs w:val="24"/>
                <w:highlight w:val="none"/>
              </w:rPr>
              <w:t>疾病住院用药补充医疗</w:t>
            </w:r>
          </w:p>
        </w:tc>
        <w:tc>
          <w:tcPr>
            <w:tcW w:w="8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5A93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highlight w:val="none"/>
              </w:rPr>
              <w:t>疾病住院用药补充医疗赔偿限额2万/人，社保用药：年免赔额1500元，剩余自付部分给付比例为100%。</w:t>
            </w:r>
          </w:p>
        </w:tc>
      </w:tr>
      <w:tr w14:paraId="09524C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jc w:val="center"/>
        </w:trPr>
        <w:tc>
          <w:tcPr>
            <w:tcW w:w="86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3E2143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974E33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szCs w:val="24"/>
                <w:highlight w:val="none"/>
              </w:rPr>
              <w:t>疾病</w:t>
            </w:r>
          </w:p>
          <w:p w14:paraId="738DCB8C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szCs w:val="24"/>
                <w:highlight w:val="none"/>
              </w:rPr>
              <w:t>门诊</w:t>
            </w:r>
          </w:p>
        </w:tc>
        <w:tc>
          <w:tcPr>
            <w:tcW w:w="8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2B25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highlight w:val="none"/>
              </w:rPr>
              <w:t>每人最高赔偿限额不超过5000元,年免赔额1000元，剩余自付部分给付比例为90%。</w:t>
            </w:r>
          </w:p>
        </w:tc>
      </w:tr>
      <w:tr w14:paraId="7A8111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  <w:jc w:val="center"/>
        </w:trPr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B0F535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szCs w:val="24"/>
                <w:highlight w:val="none"/>
              </w:rPr>
              <w:t>“行”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FADA0B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szCs w:val="24"/>
                <w:highlight w:val="none"/>
              </w:rPr>
              <w:t>意外残疾、身故保险</w:t>
            </w:r>
          </w:p>
        </w:tc>
        <w:tc>
          <w:tcPr>
            <w:tcW w:w="8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0A56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highlight w:val="none"/>
              </w:rPr>
              <w:t>每人最高赔偿限额不超过2万元。意外身故给付比例为意外伤害保额的100%；意外伤残一至十级对应给付比例分别为意外伤害保额的100%，90%，80%，70%，60%，50%，40%，30%，20%，10%。</w:t>
            </w:r>
          </w:p>
        </w:tc>
      </w:tr>
      <w:tr w14:paraId="74394F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  <w:jc w:val="center"/>
        </w:trPr>
        <w:tc>
          <w:tcPr>
            <w:tcW w:w="8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258CC9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  <w:highlight w:val="none"/>
              </w:rPr>
              <w:t>“</w:t>
            </w:r>
            <w:r>
              <w:rPr>
                <w:rFonts w:hint="eastAsia" w:ascii="仿宋_GB2312" w:hAnsi="宋体" w:eastAsia="仿宋_GB2312"/>
                <w:kern w:val="0"/>
                <w:sz w:val="24"/>
                <w:szCs w:val="24"/>
                <w:highlight w:val="none"/>
                <w:lang w:eastAsia="zh-CN"/>
              </w:rPr>
              <w:t>学</w:t>
            </w:r>
            <w:r>
              <w:rPr>
                <w:rFonts w:hint="eastAsia" w:ascii="仿宋_GB2312" w:hAnsi="宋体" w:eastAsia="仿宋_GB2312"/>
                <w:kern w:val="0"/>
                <w:sz w:val="24"/>
                <w:szCs w:val="24"/>
                <w:highlight w:val="none"/>
              </w:rPr>
              <w:t>”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4D3AA0">
            <w:pPr>
              <w:widowControl/>
              <w:jc w:val="center"/>
              <w:rPr>
                <w:rFonts w:hint="eastAsia" w:ascii="仿宋_GB2312" w:hAnsi="宋体" w:eastAsia="仿宋_GB2312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  <w:highlight w:val="none"/>
              </w:rPr>
              <w:t>教育</w:t>
            </w:r>
          </w:p>
          <w:p w14:paraId="70890546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szCs w:val="24"/>
                <w:highlight w:val="none"/>
              </w:rPr>
              <w:t>费用</w:t>
            </w:r>
          </w:p>
        </w:tc>
        <w:tc>
          <w:tcPr>
            <w:tcW w:w="8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D874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/>
                <w:kern w:val="0"/>
                <w:sz w:val="24"/>
                <w:highlight w:val="none"/>
              </w:rPr>
              <w:t>当年应届中考、高考被学校（全日制）录取学生（全日制）的一次性资助本科8000元、专科6000元、专升本4000元，中考2000元；高等院校在校就读学生（全日制）学费资助（含住宿费），免赔额5000元，超出部分给付比例50%，最高给付限额5000元。</w:t>
            </w:r>
          </w:p>
        </w:tc>
      </w:tr>
      <w:tr w14:paraId="770075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8" w:hRule="atLeast"/>
          <w:jc w:val="center"/>
        </w:trPr>
        <w:tc>
          <w:tcPr>
            <w:tcW w:w="86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1D81419">
            <w:pPr>
              <w:jc w:val="center"/>
              <w:rPr>
                <w:rFonts w:hint="eastAsia" w:ascii="仿宋_GB2312" w:hAnsi="宋体" w:eastAsia="仿宋_GB2312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szCs w:val="24"/>
                <w:highlight w:val="none"/>
              </w:rPr>
              <w:t>特定致贫费用损失</w:t>
            </w: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B44903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szCs w:val="24"/>
                <w:highlight w:val="none"/>
              </w:rPr>
              <w:t>食物</w:t>
            </w:r>
          </w:p>
          <w:p w14:paraId="4AEDF64C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szCs w:val="24"/>
                <w:highlight w:val="none"/>
              </w:rPr>
              <w:t>中毒</w:t>
            </w:r>
          </w:p>
        </w:tc>
        <w:tc>
          <w:tcPr>
            <w:tcW w:w="8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6E29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highlight w:val="none"/>
              </w:rPr>
              <w:t>食物中毒或其他食源性疾患导致的被保险人人身伤亡，死亡伤残每人赔偿限额10000元，其中每人住院医疗费用5000元。</w:t>
            </w:r>
          </w:p>
        </w:tc>
      </w:tr>
      <w:tr w14:paraId="32FC68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E8F488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DB6C19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/>
                <w:color w:val="000000"/>
                <w:w w:val="90"/>
                <w:kern w:val="0"/>
                <w:sz w:val="24"/>
                <w:szCs w:val="24"/>
                <w:highlight w:val="none"/>
              </w:rPr>
              <w:t>传染病救助</w:t>
            </w:r>
          </w:p>
        </w:tc>
        <w:tc>
          <w:tcPr>
            <w:tcW w:w="8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FE0C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仿宋_GB2312" w:hAnsi="宋体" w:eastAsia="仿宋_GB2312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highlight w:val="none"/>
              </w:rPr>
              <w:t>年免赔额0元，传染病致死、致残最高限额10000元。</w:t>
            </w:r>
          </w:p>
        </w:tc>
      </w:tr>
      <w:tr w14:paraId="02CF98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5" w:hRule="atLeast"/>
          <w:jc w:val="center"/>
        </w:trPr>
        <w:tc>
          <w:tcPr>
            <w:tcW w:w="86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EEA181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3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FAE045">
            <w:pPr>
              <w:widowControl/>
              <w:jc w:val="center"/>
              <w:rPr>
                <w:rFonts w:hint="eastAsia" w:ascii="仿宋_GB2312" w:hAnsi="宋体" w:eastAsia="仿宋_GB2312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szCs w:val="24"/>
                <w:highlight w:val="none"/>
              </w:rPr>
              <w:t>重大疾病保险</w:t>
            </w:r>
          </w:p>
        </w:tc>
        <w:tc>
          <w:tcPr>
            <w:tcW w:w="8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D181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_GB2312" w:hAnsi="宋体" w:eastAsia="仿宋_GB2312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/>
                <w:color w:val="000000"/>
                <w:kern w:val="0"/>
                <w:sz w:val="24"/>
                <w:highlight w:val="none"/>
              </w:rPr>
              <w:t>在保险期间内，等待期30天结束后，经县级以上人民医院首次确诊患有保险合同载明的25类重大疾病，保险人随即给付保险金，每种疾病每人最高赔偿金额不超过10000元。</w:t>
            </w:r>
          </w:p>
        </w:tc>
      </w:tr>
      <w:tr w14:paraId="2CD628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  <w:jc w:val="center"/>
        </w:trPr>
        <w:tc>
          <w:tcPr>
            <w:tcW w:w="10418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6ED7D0">
            <w:pPr>
              <w:widowControl/>
              <w:jc w:val="center"/>
              <w:rPr>
                <w:rFonts w:hint="eastAsia" w:ascii="宋体" w:hAnsi="宋体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eastAsia="仿宋_GB2312"/>
                <w:b/>
                <w:bCs/>
                <w:sz w:val="24"/>
                <w:highlight w:val="none"/>
              </w:rPr>
              <w:t>原则上个人保费不超过500元/人，具体由各地与承保机构结合保障项目协商确定。</w:t>
            </w:r>
          </w:p>
        </w:tc>
      </w:tr>
    </w:tbl>
    <w:p w14:paraId="327C66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80" w:firstLineChars="200"/>
        <w:textAlignment w:val="auto"/>
        <w:rPr>
          <w:rFonts w:hint="eastAsia" w:ascii="仿宋_GB2312" w:hAnsi="仿宋" w:eastAsia="仿宋_GB2312"/>
          <w:color w:val="000000"/>
          <w:sz w:val="24"/>
          <w:szCs w:val="24"/>
          <w:highlight w:val="none"/>
        </w:rPr>
      </w:pPr>
      <w:r>
        <w:rPr>
          <w:rFonts w:hint="eastAsia" w:ascii="仿宋_GB2312" w:hAnsi="仿宋" w:eastAsia="仿宋_GB2312"/>
          <w:color w:val="000000"/>
          <w:sz w:val="24"/>
          <w:szCs w:val="24"/>
          <w:highlight w:val="none"/>
        </w:rPr>
        <w:t>注：</w:t>
      </w:r>
      <w:r>
        <w:rPr>
          <w:rFonts w:hint="eastAsia" w:ascii="仿宋_GB2312" w:hAnsi="仿宋" w:eastAsia="仿宋_GB2312"/>
          <w:color w:val="000000"/>
          <w:sz w:val="24"/>
          <w:highlight w:val="none"/>
        </w:rPr>
        <w:t xml:space="preserve"> 25类重大疾病：恶性肿瘤、急性心肌梗塞、脑中风后遗症、重大器官移植术或造血干细胞移植术、冠状动脉搭桥术或称冠状动脉旁路移植术、终末期肾病或称慢性肾功能衰竭尿毒症期、多个肢体缺失、急性或亚急性重症肝炎、良性脑肿瘤、慢性肝功能衰竭失代偿期、脑炎后遗症或脑膜炎后遗症、深度昏迷、双耳失聪、双目失明、瘫痪、心脏瓣膜手术、严重阿尔茨海默病、严重脑损伤、严重帕金森病、严重III度烧伤、严重原发性肺动脉高压、严重运动神经元病、语言能力丧失、重型再生障碍性贫血、主动脉手术。</w:t>
      </w:r>
    </w:p>
    <w:sectPr>
      <w:headerReference r:id="rId3" w:type="default"/>
      <w:footerReference r:id="rId4" w:type="default"/>
      <w:pgSz w:w="11906" w:h="16838"/>
      <w:pgMar w:top="1440" w:right="1701" w:bottom="1440" w:left="1701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楷体简体">
    <w:altName w:val="方正楷体_GBK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0B217E">
    <w:pPr>
      <w:pStyle w:val="2"/>
      <w:ind w:right="360" w:firstLine="360"/>
    </w:pP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479B9E8">
                          <w:pPr>
                            <w:pStyle w:val="2"/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+OrREyAgAAY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f46tET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479B9E8">
                    <w:pPr>
                      <w:pStyle w:val="2"/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B93EC11">
                          <w:pPr>
                            <w:pStyle w:val="2"/>
                          </w:pPr>
                        </w:p>
                        <w:p w14:paraId="71A25A15"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B93EC11">
                    <w:pPr>
                      <w:pStyle w:val="2"/>
                    </w:pPr>
                  </w:p>
                  <w:p w14:paraId="71A25A15"/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631B00"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IzOTZhYmNkOWJkZDViMDE2NTg2MDhkZjk0Y2NlN2QifQ=="/>
    <w:docVar w:name="KSO_WPS_MARK_KEY" w:val="35f3d53c-6788-45aa-836b-4f8e33eeb615"/>
  </w:docVars>
  <w:rsids>
    <w:rsidRoot w:val="786D5825"/>
    <w:rsid w:val="09A84B40"/>
    <w:rsid w:val="0C265E03"/>
    <w:rsid w:val="0DAE59B6"/>
    <w:rsid w:val="155A72E5"/>
    <w:rsid w:val="15763D45"/>
    <w:rsid w:val="173D621F"/>
    <w:rsid w:val="199804CB"/>
    <w:rsid w:val="19B60738"/>
    <w:rsid w:val="19F618F8"/>
    <w:rsid w:val="268A0EDE"/>
    <w:rsid w:val="27802801"/>
    <w:rsid w:val="28354429"/>
    <w:rsid w:val="284E4575"/>
    <w:rsid w:val="2DA06C27"/>
    <w:rsid w:val="30227EC4"/>
    <w:rsid w:val="33751688"/>
    <w:rsid w:val="37C93D50"/>
    <w:rsid w:val="3B65796E"/>
    <w:rsid w:val="3DDC47DD"/>
    <w:rsid w:val="3EF25FA6"/>
    <w:rsid w:val="4263399C"/>
    <w:rsid w:val="457405FD"/>
    <w:rsid w:val="478163F5"/>
    <w:rsid w:val="48AD54F6"/>
    <w:rsid w:val="4ABB4F8C"/>
    <w:rsid w:val="4C8272C8"/>
    <w:rsid w:val="507C6D76"/>
    <w:rsid w:val="538D4BEC"/>
    <w:rsid w:val="560B3A5A"/>
    <w:rsid w:val="589907FF"/>
    <w:rsid w:val="589F492D"/>
    <w:rsid w:val="5AEE74A6"/>
    <w:rsid w:val="5C7F2933"/>
    <w:rsid w:val="60E47381"/>
    <w:rsid w:val="6AD62431"/>
    <w:rsid w:val="6CA51C88"/>
    <w:rsid w:val="6F115BED"/>
    <w:rsid w:val="6F4A28B9"/>
    <w:rsid w:val="70A1528F"/>
    <w:rsid w:val="71E0079B"/>
    <w:rsid w:val="74AE3AD6"/>
    <w:rsid w:val="77EE3EF1"/>
    <w:rsid w:val="786D5825"/>
    <w:rsid w:val="7A462C0C"/>
    <w:rsid w:val="7C370855"/>
    <w:rsid w:val="7C66113B"/>
    <w:rsid w:val="7F153176"/>
    <w:rsid w:val="7FC06DB4"/>
    <w:rsid w:val="B5654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1416</Words>
  <Characters>1559</Characters>
  <Lines>0</Lines>
  <Paragraphs>0</Paragraphs>
  <TotalTime>12</TotalTime>
  <ScaleCrop>false</ScaleCrop>
  <LinksUpToDate>false</LinksUpToDate>
  <CharactersWithSpaces>1611</CharactersWithSpaces>
  <Application>WPS Office_12.1.2.24730_F1E327BC-269C-435d-A152-05C5408002CA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2023-04-07T15:16:00Z</dcterms:created>
  <dc:creator>林显柏</dc:creator>
  <cp:lastModifiedBy>超</cp:lastModifiedBy>
  <cp:lastPrinted>2023-04-19T16:51:00Z</cp:lastPrinted>
  <dcterms:modified xsi:type="dcterms:W3CDTF">2026-09-22T11:52:10Z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2052-12.1.2.24730</vt:lpwstr>
  </property>
  <property fmtid="{D5CDD505-2E9C-101B-9397-08002B2CF9AE}" pid="3" name="ICV">
    <vt:lpwstr>474AD96CE6BB4D6B86DEB073F5AE94DF_13</vt:lpwstr>
  </property>
</Properties>
</file>