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2A136">
      <w:pPr>
        <w:ind w:firstLine="640"/>
        <w:rPr>
          <w:rFonts w:hint="eastAsia"/>
          <w:sz w:val="32"/>
          <w:szCs w:val="32"/>
          <w:highlight w:val="none"/>
        </w:rPr>
      </w:pPr>
    </w:p>
    <w:p w14:paraId="597254C6">
      <w:pPr>
        <w:ind w:firstLine="0" w:firstLineChars="0"/>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《阳江市阳东区现代化海洋牧场建设规划（2023—2035 年）（征求意见稿）》起草说明</w:t>
      </w:r>
    </w:p>
    <w:p w14:paraId="6CF0AD6F">
      <w:pPr>
        <w:ind w:firstLine="600"/>
        <w:rPr>
          <w:highlight w:val="none"/>
        </w:rPr>
      </w:pPr>
    </w:p>
    <w:p w14:paraId="14B46087">
      <w:pPr>
        <w:pStyle w:val="2"/>
        <w:spacing w:before="145"/>
        <w:jc w:val="left"/>
        <w:rPr>
          <w:rFonts w:hint="eastAsia" w:ascii="黑体" w:hAnsi="黑体" w:eastAsia="黑体" w:cs="黑体"/>
          <w:b w:val="0"/>
          <w:bCs w:val="0"/>
          <w:highlight w:val="none"/>
        </w:rPr>
      </w:pPr>
      <w:r>
        <w:rPr>
          <w:rFonts w:hint="eastAsia" w:ascii="黑体" w:hAnsi="黑体" w:eastAsia="黑体" w:cs="黑体"/>
          <w:b w:val="0"/>
          <w:bCs w:val="0"/>
          <w:highlight w:val="none"/>
        </w:rPr>
        <w:t>一、编制背景</w:t>
      </w:r>
    </w:p>
    <w:p w14:paraId="493935E0">
      <w:pPr>
        <w:ind w:firstLine="6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党中央、国务院高度重视海洋工作，党的二十大提出“发展海洋经济，保护海洋生态环境，加快建设海洋强国”的战略部署。2023 年6 月，农业农村部等八部委发布《关于加快推进深远海养殖发展的意见》（农渔发〔2023〕14 号），明确提出“大力发展深远海养殖，对优化水产养殖空间布局、促进海洋渔业转型升级、确保国家粮食安全、改善国民膳食结构、实施健康中国战略均具有重要意义”。2023 年6 月，广东省委十三届三次全会明确强调要全面推进海洋强省建设，在打造海上新广东上取得新突破，要做大做强做优海洋牧场等现代海洋产业，这是发展海洋渔业新质生产力的关键举措，也是践行大食物观、构建多元化食物供给体系、保障粮食安全的重要途径。</w:t>
      </w:r>
      <w:r>
        <w:rPr>
          <w:rFonts w:hint="eastAsia" w:ascii="仿宋_GB2312" w:hAnsi="仿宋_GB2312" w:cs="仿宋_GB2312"/>
          <w:sz w:val="32"/>
          <w:szCs w:val="32"/>
          <w:highlight w:val="none"/>
          <w:lang w:val="en-US" w:eastAsia="zh-CN"/>
        </w:rPr>
        <w:t xml:space="preserve"> </w:t>
      </w:r>
    </w:p>
    <w:p w14:paraId="3113D07C">
      <w:pPr>
        <w:ind w:firstLine="6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推动阳东区高质量发展“粤海粮仓”，科学指导阳江市阳东区现代化海洋牧场建设工作，按照区委、区政府工作部署，编制实施《阳江市阳东区现代化海洋牧场建设规划（2023—2035年）》（以下简称《规划》）。《规划》衔接《阳江市现代化海洋牧场全产业链建设总体规划和实施方案》、《阳江市阳东区国民经济和社会发展第十四个五年规划和二〇三五年远景目标纲要》《阳江市国土空间总体规划（2021-2035 年）》《阳江市阳东区养殖水域滩涂规划（2018-2030 年）》及海洋渔业、海岸带、航道航路、港口布局、海上风电等相关规划和文件，是建设阳江市阳东区现代化海洋牧场的纲领性文件。</w:t>
      </w:r>
      <w:r>
        <w:rPr>
          <w:rFonts w:hint="eastAsia" w:ascii="仿宋_GB2312" w:hAnsi="仿宋_GB2312" w:cs="仿宋_GB2312"/>
          <w:sz w:val="32"/>
          <w:szCs w:val="32"/>
          <w:highlight w:val="none"/>
          <w:lang w:val="en-US" w:eastAsia="zh-CN"/>
        </w:rPr>
        <w:t xml:space="preserve"> </w:t>
      </w:r>
    </w:p>
    <w:p w14:paraId="094E75F4">
      <w:pPr>
        <w:pStyle w:val="2"/>
        <w:spacing w:before="145"/>
        <w:jc w:val="left"/>
        <w:rPr>
          <w:rFonts w:hint="eastAsia" w:ascii="黑体" w:hAnsi="黑体" w:eastAsia="黑体" w:cs="黑体"/>
          <w:b w:val="0"/>
          <w:bCs w:val="0"/>
          <w:highlight w:val="none"/>
        </w:rPr>
      </w:pPr>
      <w:r>
        <w:rPr>
          <w:rFonts w:hint="eastAsia" w:ascii="黑体" w:hAnsi="黑体" w:eastAsia="黑体" w:cs="黑体"/>
          <w:b w:val="0"/>
          <w:bCs w:val="0"/>
          <w:highlight w:val="none"/>
        </w:rPr>
        <w:t>二、编制依据</w:t>
      </w:r>
    </w:p>
    <w:p w14:paraId="6877B36E">
      <w:pPr>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规划》依据《中华人民共和国渔业法》《中华人民共和国海域使用管理法》《中华人民共和国环境保护法》《中华人民共和国水法》《中华人民共和国海上交通安全法》《中华人民共和国城乡规划法》《中华人民共和国土地管理法》《中华人民共和国自然保护区条例》《广东省渔业管理条例》等相关法律法规及行政规范。结合《国家级海洋牧场示范区建设规划（2017-2025 年）》《广东省推进农业农村现代化“十四五”规划》《广东省现代化海洋牧场建设实施方案》《广东省现代化海洋牧场发展总体规划（2023-2035年）》（报批稿）《阳江市国土空间总体规划（2021-2035 年）》《阳江市现代渔港建设总体规划（2015-2025年）》《阳江市阳东区养殖水域滩涂规划（2018-2030年）》《阳东区国民经济和社会发展第十四个五年规划和二〇三五年远景目标纲要》等，</w:t>
      </w:r>
      <w:bookmarkStart w:id="0" w:name="_GoBack"/>
      <w:bookmarkEnd w:id="0"/>
      <w:r>
        <w:rPr>
          <w:rFonts w:hint="eastAsia" w:ascii="仿宋_GB2312" w:hAnsi="仿宋_GB2312" w:eastAsia="仿宋_GB2312" w:cs="仿宋_GB2312"/>
          <w:sz w:val="32"/>
          <w:szCs w:val="32"/>
          <w:highlight w:val="none"/>
        </w:rPr>
        <w:t>以及《国土空间调查、规划、用途管制用地用海分类指南》等国家和地方相关法律法规及上位规划制定。</w:t>
      </w:r>
    </w:p>
    <w:p w14:paraId="3DECECB6">
      <w:pPr>
        <w:pStyle w:val="2"/>
        <w:spacing w:before="145"/>
        <w:jc w:val="left"/>
        <w:rPr>
          <w:rFonts w:hint="eastAsia" w:ascii="黑体" w:hAnsi="黑体" w:eastAsia="黑体" w:cs="黑体"/>
          <w:b w:val="0"/>
          <w:bCs w:val="0"/>
          <w:highlight w:val="none"/>
        </w:rPr>
      </w:pPr>
      <w:r>
        <w:rPr>
          <w:rFonts w:hint="eastAsia" w:ascii="黑体" w:hAnsi="黑体" w:eastAsia="黑体" w:cs="黑体"/>
          <w:b w:val="0"/>
          <w:bCs w:val="0"/>
          <w:highlight w:val="none"/>
        </w:rPr>
        <w:t>三、编制过程</w:t>
      </w:r>
    </w:p>
    <w:p w14:paraId="7E1A151D">
      <w:pPr>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推动阳东区高质量发展“粤海粮仓”，科学指导阳江市阳东区现代化海洋牧场建设工作，按照区委、区政府工作部署，编制实施《阳江市阳东区现代化海洋牧场建设规划（2023—2035年）》（以下简称《规划》）。于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日在广东省网上中介服务超市确定</w:t>
      </w:r>
      <w:r>
        <w:rPr>
          <w:rFonts w:hint="eastAsia" w:ascii="仿宋_GB2312" w:hAnsi="仿宋_GB2312" w:eastAsia="仿宋_GB2312" w:cs="仿宋_GB2312"/>
          <w:sz w:val="32"/>
          <w:szCs w:val="32"/>
          <w:highlight w:val="none"/>
          <w:lang w:val="en-US" w:eastAsia="zh-CN"/>
        </w:rPr>
        <w:t>广东省城乡规划设计研究院科技集团股份有限公司</w:t>
      </w:r>
      <w:r>
        <w:rPr>
          <w:rFonts w:hint="eastAsia" w:ascii="仿宋_GB2312" w:hAnsi="仿宋_GB2312" w:eastAsia="仿宋_GB2312" w:cs="仿宋_GB2312"/>
          <w:sz w:val="32"/>
          <w:szCs w:val="32"/>
          <w:highlight w:val="none"/>
        </w:rPr>
        <w:t>为《规划》编制单位。编制单位在</w:t>
      </w:r>
      <w:r>
        <w:rPr>
          <w:rFonts w:hint="eastAsia" w:ascii="仿宋_GB2312" w:hAnsi="仿宋_GB2312" w:eastAsia="仿宋_GB2312" w:cs="仿宋_GB2312"/>
          <w:sz w:val="32"/>
          <w:szCs w:val="32"/>
          <w:highlight w:val="none"/>
          <w:lang w:val="en-US" w:eastAsia="zh-CN"/>
        </w:rPr>
        <w:t>中选</w:t>
      </w:r>
      <w:r>
        <w:rPr>
          <w:rFonts w:hint="eastAsia" w:ascii="仿宋_GB2312" w:hAnsi="仿宋_GB2312" w:eastAsia="仿宋_GB2312" w:cs="仿宋_GB2312"/>
          <w:sz w:val="32"/>
          <w:szCs w:val="32"/>
          <w:highlight w:val="none"/>
        </w:rPr>
        <w:t>后通过多次现场踏勘、交流访谈等方式，数据收集以及数据分析研究等方法，对阳东</w:t>
      </w:r>
      <w:r>
        <w:rPr>
          <w:rFonts w:hint="eastAsia" w:ascii="仿宋_GB2312" w:hAnsi="仿宋_GB2312" w:eastAsia="仿宋_GB2312" w:cs="仿宋_GB2312"/>
          <w:sz w:val="32"/>
          <w:szCs w:val="32"/>
          <w:highlight w:val="none"/>
          <w:lang w:val="en-US" w:eastAsia="zh-CN"/>
        </w:rPr>
        <w:t>区海上养殖、陆域配套</w:t>
      </w:r>
      <w:r>
        <w:rPr>
          <w:rFonts w:hint="eastAsia" w:ascii="仿宋_GB2312" w:hAnsi="仿宋_GB2312" w:eastAsia="仿宋_GB2312" w:cs="仿宋_GB2312"/>
          <w:sz w:val="32"/>
          <w:szCs w:val="32"/>
          <w:highlight w:val="none"/>
        </w:rPr>
        <w:t>进行全面调查研究，对规划方案进行全面编制，</w:t>
      </w:r>
      <w:r>
        <w:rPr>
          <w:rFonts w:hint="eastAsia" w:ascii="仿宋_GB2312" w:hAnsi="仿宋_GB2312" w:eastAsia="仿宋_GB2312" w:cs="仿宋_GB2312"/>
          <w:sz w:val="32"/>
          <w:szCs w:val="32"/>
          <w:highlight w:val="none"/>
          <w:lang w:val="en-US" w:eastAsia="zh-CN"/>
        </w:rPr>
        <w:t>现已</w:t>
      </w:r>
      <w:r>
        <w:rPr>
          <w:rFonts w:hint="eastAsia" w:ascii="仿宋_GB2312" w:hAnsi="仿宋_GB2312" w:eastAsia="仿宋_GB2312" w:cs="仿宋_GB2312"/>
          <w:sz w:val="32"/>
          <w:szCs w:val="32"/>
          <w:highlight w:val="none"/>
        </w:rPr>
        <w:t>形成《阳江市阳东区现代化海洋牧场建设规划（2023—2035年）（征求意见稿）》。</w:t>
      </w:r>
    </w:p>
    <w:p w14:paraId="798E7CFE">
      <w:pPr>
        <w:pStyle w:val="2"/>
        <w:spacing w:before="145"/>
        <w:jc w:val="left"/>
        <w:rPr>
          <w:rFonts w:hint="eastAsia" w:ascii="黑体" w:hAnsi="黑体" w:eastAsia="黑体" w:cs="黑体"/>
          <w:b w:val="0"/>
          <w:bCs w:val="0"/>
          <w:highlight w:val="none"/>
        </w:rPr>
      </w:pPr>
      <w:r>
        <w:rPr>
          <w:rFonts w:hint="eastAsia" w:ascii="黑体" w:hAnsi="黑体" w:eastAsia="黑体" w:cs="黑体"/>
          <w:b w:val="0"/>
          <w:bCs w:val="0"/>
          <w:highlight w:val="none"/>
        </w:rPr>
        <w:t>四、编制成果</w:t>
      </w:r>
    </w:p>
    <w:p w14:paraId="59BB0A09">
      <w:pPr>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《规划》成果构成包含：</w:t>
      </w:r>
    </w:p>
    <w:p w14:paraId="6A83AA0A">
      <w:pPr>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1、《阳江市阳东区现代化海洋牧场建设规划（2023—2035年）》——规划文本和图册；</w:t>
      </w:r>
    </w:p>
    <w:p w14:paraId="1C935748">
      <w:pPr>
        <w:pStyle w:val="2"/>
        <w:spacing w:before="145"/>
        <w:jc w:val="left"/>
        <w:rPr>
          <w:rFonts w:hint="eastAsia" w:ascii="黑体" w:hAnsi="黑体" w:eastAsia="黑体" w:cs="黑体"/>
          <w:b w:val="0"/>
          <w:bCs w:val="0"/>
          <w:highlight w:val="none"/>
        </w:rPr>
      </w:pPr>
      <w:r>
        <w:rPr>
          <w:rFonts w:hint="eastAsia" w:ascii="黑体" w:hAnsi="黑体" w:eastAsia="黑体" w:cs="黑体"/>
          <w:b w:val="0"/>
          <w:bCs w:val="0"/>
          <w:highlight w:val="none"/>
        </w:rPr>
        <w:t>五、主要规划内容</w:t>
      </w:r>
    </w:p>
    <w:p w14:paraId="32E9856E">
      <w:pPr>
        <w:pStyle w:val="3"/>
        <w:spacing w:before="204" w:after="204"/>
        <w:ind w:firstLine="602"/>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（一）规划范围及期限</w:t>
      </w:r>
    </w:p>
    <w:p w14:paraId="5A26064A">
      <w:pPr>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本规划的陆域范围为阳东区全区陆域行政管辖范围，面积1704.45 平方公里。海域范围为阳东区管辖海域范围，面积2711.09 平方公里。规划期限为2023-2035 年。基期年为2023 年，近期至2027年，中期至2030 年，远期至2035 年。</w:t>
      </w:r>
    </w:p>
    <w:p w14:paraId="272FD6E1">
      <w:pPr>
        <w:pStyle w:val="3"/>
        <w:spacing w:before="204" w:after="204"/>
        <w:ind w:firstLine="602"/>
        <w:rPr>
          <w:rFonts w:hint="default" w:ascii="楷体_GB2312" w:hAnsi="楷体_GB2312" w:eastAsia="楷体_GB2312" w:cs="楷体_GB2312"/>
          <w:b w:val="0"/>
          <w:bCs w:val="0"/>
          <w:highlight w:val="none"/>
          <w:lang w:val="en-US" w:eastAsia="zh-CN"/>
        </w:rPr>
      </w:pPr>
      <w:r>
        <w:rPr>
          <w:rFonts w:hint="eastAsia" w:ascii="楷体_GB2312" w:hAnsi="楷体_GB2312" w:eastAsia="楷体_GB2312" w:cs="楷体_GB2312"/>
          <w:b w:val="0"/>
          <w:bCs w:val="0"/>
          <w:highlight w:val="none"/>
        </w:rPr>
        <w:t>（二）</w:t>
      </w:r>
      <w:r>
        <w:rPr>
          <w:rFonts w:hint="eastAsia" w:ascii="楷体_GB2312" w:hAnsi="楷体_GB2312" w:eastAsia="楷体_GB2312" w:cs="楷体_GB2312"/>
          <w:b w:val="0"/>
          <w:bCs w:val="0"/>
          <w:highlight w:val="none"/>
          <w:lang w:val="en-US" w:eastAsia="zh-CN"/>
        </w:rPr>
        <w:t>目标定位</w:t>
      </w:r>
    </w:p>
    <w:p w14:paraId="7880A929">
      <w:pPr>
        <w:ind w:firstLine="6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坚持“深耕蔚蓝、向海图强”发展，助力“粤海粮仓”建设，将阳东区现代化海洋牧场建设成为国家级深蓝现代化海洋牧场试点区、广东省现代化海洋牧场区域合作发展先行区、粤西“风渔旅融合”创新发展示范区、阳江市海产品精深加工中心。</w:t>
      </w:r>
    </w:p>
    <w:p w14:paraId="14772548">
      <w:pPr>
        <w:pStyle w:val="3"/>
        <w:spacing w:before="204" w:after="204"/>
        <w:ind w:firstLine="602"/>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（三）规划主要内容</w:t>
      </w:r>
    </w:p>
    <w:p w14:paraId="21F76FAB">
      <w:pPr>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《规划》共分为十一章</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十八节：</w:t>
      </w:r>
    </w:p>
    <w:p w14:paraId="68440D60">
      <w:pPr>
        <w:ind w:firstLine="602"/>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第一章 总</w:t>
      </w:r>
      <w:r>
        <w:rPr>
          <w:rFonts w:hint="eastAsia" w:ascii="仿宋_GB2312" w:hAnsi="仿宋_GB2312" w:cs="仿宋_GB2312"/>
          <w:b/>
          <w:bCs/>
          <w:highlight w:val="none"/>
          <w:lang w:val="en-US" w:eastAsia="zh-CN"/>
        </w:rPr>
        <w:t>体要求</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rPr>
        <w:t>总体介绍</w:t>
      </w:r>
      <w:r>
        <w:rPr>
          <w:rFonts w:hint="eastAsia" w:ascii="仿宋_GB2312" w:hAnsi="仿宋_GB2312" w:eastAsia="仿宋_GB2312" w:cs="仿宋_GB2312"/>
          <w:sz w:val="32"/>
          <w:szCs w:val="32"/>
          <w:highlight w:val="none"/>
          <w:lang w:val="en-US" w:eastAsia="zh-CN"/>
        </w:rPr>
        <w:t>编制目的、规划依据、指导思想、基本原则、规划期限、规划范围</w:t>
      </w:r>
      <w:r>
        <w:rPr>
          <w:rFonts w:hint="eastAsia" w:ascii="仿宋_GB2312" w:hAnsi="仿宋_GB2312" w:eastAsia="仿宋_GB2312" w:cs="仿宋_GB2312"/>
          <w:sz w:val="32"/>
          <w:szCs w:val="32"/>
          <w:highlight w:val="none"/>
        </w:rPr>
        <w:t>等内容。</w:t>
      </w:r>
    </w:p>
    <w:p w14:paraId="33995757">
      <w:pPr>
        <w:ind w:firstLine="602"/>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highlight w:val="none"/>
        </w:rPr>
        <w:t xml:space="preserve">第二章 </w:t>
      </w:r>
      <w:r>
        <w:rPr>
          <w:rFonts w:hint="eastAsia" w:ascii="仿宋_GB2312" w:hAnsi="仿宋_GB2312" w:cs="仿宋_GB2312"/>
          <w:b/>
          <w:bCs/>
          <w:highlight w:val="none"/>
          <w:lang w:val="en-US" w:eastAsia="zh-CN"/>
        </w:rPr>
        <w:t>规划基础</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rPr>
        <w:t>深入分析</w:t>
      </w:r>
      <w:r>
        <w:rPr>
          <w:rFonts w:hint="eastAsia" w:ascii="仿宋_GB2312" w:hAnsi="仿宋_GB2312" w:eastAsia="仿宋_GB2312" w:cs="仿宋_GB2312"/>
          <w:sz w:val="32"/>
          <w:szCs w:val="32"/>
          <w:highlight w:val="none"/>
          <w:lang w:val="en-US" w:eastAsia="zh-CN"/>
        </w:rPr>
        <w:t>阳东区现代化海洋牧场建设条件与产业发展基础，系统识别当前阳东区现代化海洋牧场发展面临的问题与挑战，结合国家、广东省、阳江市海洋经济发展趋势，研判阳东区发展现代化海洋牧场面临的发展机遇</w:t>
      </w:r>
      <w:r>
        <w:rPr>
          <w:rFonts w:hint="eastAsia" w:ascii="仿宋_GB2312" w:hAnsi="仿宋_GB2312" w:eastAsia="仿宋_GB2312" w:cs="仿宋_GB2312"/>
          <w:sz w:val="32"/>
          <w:szCs w:val="32"/>
          <w:highlight w:val="none"/>
        </w:rPr>
        <w:t>。</w:t>
      </w:r>
    </w:p>
    <w:p w14:paraId="0A4847B9">
      <w:pPr>
        <w:spacing w:beforeLines="0" w:afterLines="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highlight w:val="none"/>
        </w:rPr>
        <w:t xml:space="preserve">第三章 </w:t>
      </w:r>
      <w:r>
        <w:rPr>
          <w:rFonts w:hint="eastAsia" w:ascii="仿宋_GB2312" w:hAnsi="仿宋_GB2312" w:cs="仿宋_GB2312"/>
          <w:b/>
          <w:bCs/>
          <w:highlight w:val="none"/>
          <w:lang w:val="en-US" w:eastAsia="zh-CN"/>
        </w:rPr>
        <w:t>确定目标定位</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lang w:val="en-US" w:eastAsia="zh-CN"/>
        </w:rPr>
        <w:t>规划将阳东区现代化海洋牧场建设成为国家级深蓝现代化海洋牧场试点区、广东省现代化海洋牧场区域合作发展先行区、粤西“风渔旅融合”创新发展示范区、阳江市海产品精深加工中心。至2027年，全区海洋牧场用海面积预计达到78.84 平方公里，其中深远海养殖约63.31 平方公里，贝类养殖约15.53 平方公里；至2030年，全区海洋牧场用海面积预计达到113.41 平方公里，其中深远海养殖约95.43 平方公里，贝类养殖约17.98 平方公里；至2035年，</w:t>
      </w:r>
      <w:r>
        <w:rPr>
          <w:rFonts w:hint="eastAsia" w:ascii="仿宋_GB2312" w:hAnsi="仿宋_GB2312" w:eastAsia="仿宋_GB2312" w:cs="仿宋_GB2312"/>
          <w:sz w:val="32"/>
          <w:szCs w:val="32"/>
          <w:highlight w:val="none"/>
        </w:rPr>
        <w:t>全区海洋牧场用海面积预计达到231 平方公里，其中深远海养殖约206.48 平方公里，贝类养殖约24.52 平方公里</w:t>
      </w:r>
      <w:r>
        <w:rPr>
          <w:rFonts w:hint="eastAsia" w:ascii="仿宋_GB2312" w:hAnsi="仿宋_GB2312" w:eastAsia="仿宋_GB2312" w:cs="仿宋_GB2312"/>
          <w:sz w:val="32"/>
          <w:szCs w:val="32"/>
          <w:highlight w:val="none"/>
          <w:lang w:eastAsia="zh-CN"/>
        </w:rPr>
        <w:t>。</w:t>
      </w:r>
    </w:p>
    <w:p w14:paraId="52116C15">
      <w:pPr>
        <w:ind w:firstLine="60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highlight w:val="none"/>
        </w:rPr>
        <w:t xml:space="preserve">第四章 </w:t>
      </w:r>
      <w:r>
        <w:rPr>
          <w:rFonts w:hint="eastAsia" w:ascii="仿宋_GB2312" w:hAnsi="仿宋_GB2312" w:cs="仿宋_GB2312"/>
          <w:b/>
          <w:bCs/>
          <w:highlight w:val="none"/>
          <w:lang w:val="en-US" w:eastAsia="zh-CN"/>
        </w:rPr>
        <w:t>谋划空间布局</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lang w:val="en-US" w:eastAsia="zh-CN"/>
        </w:rPr>
        <w:t>根据本次规划的总体目标，依据阳东区海洋自然禀赋，优越的渔业发展基础，良好的海洋生态环境承载力，结合海洋功能区划（国土空间总体规划）、海洋生态红线、养殖水域滩涂规划以及相关的国家和地方政策文件精神，以生态优先、海陆接力、岸海联动、持续利用为导向，促进阳东区渔业创新绿色发展，构建“一港六园一基地”的发展总体格局。</w:t>
      </w:r>
    </w:p>
    <w:p w14:paraId="498A6FAF">
      <w:pPr>
        <w:ind w:firstLine="60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highlight w:val="none"/>
        </w:rPr>
        <w:t xml:space="preserve">第五章 </w:t>
      </w:r>
      <w:r>
        <w:rPr>
          <w:rFonts w:hint="eastAsia" w:ascii="仿宋_GB2312" w:hAnsi="仿宋_GB2312" w:cs="仿宋_GB2312"/>
          <w:b/>
          <w:bCs/>
          <w:highlight w:val="none"/>
          <w:lang w:val="en-US" w:eastAsia="zh-CN"/>
        </w:rPr>
        <w:t>优化养殖发展</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lang w:val="en-US" w:eastAsia="zh-CN"/>
        </w:rPr>
        <w:t>结合阳东区实际发展情况，进一步推动近海养殖转型，通过创新贝类养殖模式、巩固对虾种业优势、谋划海岛种业发展、壮大深海养殖规模等路径促进阳东区现代化海洋牧场高质量发展。</w:t>
      </w:r>
    </w:p>
    <w:p w14:paraId="54FEE337">
      <w:pPr>
        <w:ind w:firstLine="602"/>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highlight w:val="none"/>
        </w:rPr>
        <w:t xml:space="preserve">第六章 </w:t>
      </w:r>
      <w:r>
        <w:rPr>
          <w:rFonts w:hint="eastAsia" w:ascii="仿宋_GB2312" w:hAnsi="仿宋_GB2312" w:cs="仿宋_GB2312"/>
          <w:b/>
          <w:bCs/>
          <w:highlight w:val="none"/>
          <w:lang w:val="en-US" w:eastAsia="zh-CN"/>
        </w:rPr>
        <w:t>健全产业体系</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lang w:val="en-US" w:eastAsia="zh-CN"/>
        </w:rPr>
        <w:t>规划提出积极发展饲料动保产业，推动发展养殖装备产业，大力发展冷链物流产业，谋划海洋生物医药研发，完善海产贸易销售体系，积极培育多元业态发展等多项产业发展路径</w:t>
      </w:r>
      <w:r>
        <w:rPr>
          <w:rFonts w:hint="eastAsia" w:ascii="仿宋_GB2312" w:hAnsi="仿宋_GB2312" w:eastAsia="仿宋_GB2312" w:cs="仿宋_GB2312"/>
          <w:sz w:val="32"/>
          <w:szCs w:val="32"/>
          <w:highlight w:val="none"/>
        </w:rPr>
        <w:t>。</w:t>
      </w:r>
    </w:p>
    <w:p w14:paraId="636BEAAD">
      <w:pPr>
        <w:ind w:firstLine="60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highlight w:val="none"/>
        </w:rPr>
        <w:t xml:space="preserve">第七章 </w:t>
      </w:r>
      <w:r>
        <w:rPr>
          <w:rFonts w:hint="eastAsia" w:ascii="仿宋_GB2312" w:hAnsi="仿宋_GB2312" w:cs="仿宋_GB2312"/>
          <w:b/>
          <w:bCs/>
          <w:highlight w:val="none"/>
          <w:lang w:val="en-US" w:eastAsia="zh-CN"/>
        </w:rPr>
        <w:t>建立全方位的支撑体系</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lang w:val="en-US" w:eastAsia="zh-CN"/>
        </w:rPr>
        <w:t>规划从提升海域生态健康养殖质量，健全海上综合交通配套设施，推动海洋牧场智慧化与科技创新，推进深远海养殖绿色低碳发展与碳汇渔业，促进风渔融合型海洋牧场特色化发展，建立多措并举的风险防范和应对策略，强化海上应急救援与综合执法等方面建立全方位的支撑体系。</w:t>
      </w:r>
    </w:p>
    <w:p w14:paraId="0E8AF12B">
      <w:pPr>
        <w:ind w:firstLine="60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highlight w:val="none"/>
        </w:rPr>
        <w:t xml:space="preserve">第八章 </w:t>
      </w:r>
      <w:r>
        <w:rPr>
          <w:rFonts w:hint="eastAsia" w:ascii="仿宋_GB2312" w:hAnsi="仿宋_GB2312" w:cs="仿宋_GB2312"/>
          <w:b/>
          <w:bCs/>
          <w:highlight w:val="none"/>
          <w:lang w:val="en-US" w:eastAsia="zh-CN"/>
        </w:rPr>
        <w:t>各镇发展指引</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lang w:val="en-US" w:eastAsia="zh-CN"/>
        </w:rPr>
        <w:t>规划提出强化东平现代化海洋牧场陆基配套核心地位，推动滨海乡镇差异化发展。</w:t>
      </w:r>
    </w:p>
    <w:p w14:paraId="2F100BED">
      <w:pPr>
        <w:ind w:firstLine="60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highlight w:val="none"/>
        </w:rPr>
        <w:t xml:space="preserve">第九章 </w:t>
      </w:r>
      <w:r>
        <w:rPr>
          <w:rFonts w:hint="eastAsia" w:ascii="仿宋_GB2312" w:hAnsi="仿宋_GB2312" w:cs="仿宋_GB2312"/>
          <w:b/>
          <w:bCs/>
          <w:highlight w:val="none"/>
          <w:lang w:val="en-US" w:eastAsia="zh-CN"/>
        </w:rPr>
        <w:t>推动区域合作</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rPr>
        <w:t>规划</w:t>
      </w:r>
      <w:r>
        <w:rPr>
          <w:rFonts w:hint="eastAsia" w:ascii="仿宋_GB2312" w:hAnsi="仿宋_GB2312" w:eastAsia="仿宋_GB2312" w:cs="仿宋_GB2312"/>
          <w:sz w:val="32"/>
          <w:szCs w:val="32"/>
          <w:highlight w:val="none"/>
          <w:lang w:val="en-US" w:eastAsia="zh-CN"/>
        </w:rPr>
        <w:t>提出加强市域区县协调共建，推动阳珠澳全方位深度合作，深入推进现代化海洋牧场粤港澳大湾区协同共建、全方位渔业养殖接力合作、产业链与市场资源共享合作，构建开放型海洋渔业发展格局。</w:t>
      </w:r>
    </w:p>
    <w:p w14:paraId="389C6BE2">
      <w:pPr>
        <w:ind w:firstLine="602"/>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highlight w:val="none"/>
        </w:rPr>
        <w:t>第十章 重点建设计划和投资估算。</w:t>
      </w:r>
      <w:r>
        <w:rPr>
          <w:rFonts w:hint="eastAsia" w:ascii="仿宋_GB2312" w:hAnsi="仿宋_GB2312" w:eastAsia="仿宋_GB2312" w:cs="仿宋_GB2312"/>
          <w:sz w:val="32"/>
          <w:szCs w:val="32"/>
          <w:highlight w:val="none"/>
        </w:rPr>
        <w:t>规划</w:t>
      </w:r>
      <w:r>
        <w:rPr>
          <w:rFonts w:hint="eastAsia" w:ascii="仿宋_GB2312" w:hAnsi="仿宋_GB2312" w:eastAsia="仿宋_GB2312" w:cs="仿宋_GB2312"/>
          <w:sz w:val="32"/>
          <w:szCs w:val="32"/>
          <w:highlight w:val="none"/>
          <w:lang w:val="en-US" w:eastAsia="zh-CN"/>
        </w:rPr>
        <w:t>提出六大建设计划，谋划了重点建设项目库，并对相关内容投资收益进行了估算</w:t>
      </w:r>
      <w:r>
        <w:rPr>
          <w:rFonts w:hint="eastAsia" w:ascii="仿宋_GB2312" w:hAnsi="仿宋_GB2312" w:eastAsia="仿宋_GB2312" w:cs="仿宋_GB2312"/>
          <w:sz w:val="32"/>
          <w:szCs w:val="32"/>
          <w:highlight w:val="none"/>
        </w:rPr>
        <w:t>。</w:t>
      </w:r>
    </w:p>
    <w:p w14:paraId="6B9B95A8">
      <w:pPr>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highlight w:val="none"/>
        </w:rPr>
        <w:t xml:space="preserve">第十一章 </w:t>
      </w:r>
      <w:r>
        <w:rPr>
          <w:rFonts w:hint="eastAsia" w:ascii="仿宋_GB2312" w:hAnsi="仿宋_GB2312" w:cs="仿宋_GB2312"/>
          <w:b/>
          <w:bCs/>
          <w:highlight w:val="none"/>
          <w:lang w:val="en-US" w:eastAsia="zh-CN"/>
        </w:rPr>
        <w:t>规划实施保障</w:t>
      </w:r>
      <w:r>
        <w:rPr>
          <w:rFonts w:hint="eastAsia" w:ascii="仿宋_GB2312" w:hAnsi="仿宋_GB2312" w:eastAsia="仿宋_GB2312" w:cs="仿宋_GB2312"/>
          <w:b/>
          <w:bCs/>
          <w:highlight w:val="none"/>
        </w:rPr>
        <w:t>。</w:t>
      </w:r>
      <w:r>
        <w:rPr>
          <w:rFonts w:hint="eastAsia" w:ascii="仿宋_GB2312" w:hAnsi="仿宋_GB2312" w:eastAsia="仿宋_GB2312" w:cs="仿宋_GB2312"/>
          <w:sz w:val="32"/>
          <w:szCs w:val="32"/>
          <w:highlight w:val="none"/>
        </w:rPr>
        <w:t>规划从加强组织领导、</w:t>
      </w:r>
      <w:r>
        <w:rPr>
          <w:rFonts w:hint="eastAsia" w:ascii="仿宋_GB2312" w:hAnsi="仿宋_GB2312" w:eastAsia="仿宋_GB2312" w:cs="仿宋_GB2312"/>
          <w:sz w:val="32"/>
          <w:szCs w:val="32"/>
          <w:highlight w:val="none"/>
          <w:lang w:val="en-US" w:eastAsia="zh-CN"/>
        </w:rPr>
        <w:t>加大政策支持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加强规划衔接、强化安全保障、加强监督考核、扩大社会参与</w:t>
      </w:r>
      <w:r>
        <w:rPr>
          <w:rFonts w:hint="eastAsia" w:ascii="仿宋_GB2312" w:hAnsi="仿宋_GB2312" w:eastAsia="仿宋_GB2312" w:cs="仿宋_GB2312"/>
          <w:sz w:val="32"/>
          <w:szCs w:val="32"/>
          <w:highlight w:val="none"/>
        </w:rPr>
        <w:t>等方面全面完善</w:t>
      </w:r>
      <w:r>
        <w:rPr>
          <w:rFonts w:hint="eastAsia" w:ascii="仿宋_GB2312" w:hAnsi="仿宋_GB2312" w:eastAsia="仿宋_GB2312" w:cs="仿宋_GB2312"/>
          <w:sz w:val="32"/>
          <w:szCs w:val="32"/>
          <w:highlight w:val="none"/>
          <w:lang w:val="en-US" w:eastAsia="zh-CN"/>
        </w:rPr>
        <w:t>阳东区现代化海洋牧场</w:t>
      </w:r>
      <w:r>
        <w:rPr>
          <w:rFonts w:hint="eastAsia" w:ascii="仿宋_GB2312" w:hAnsi="仿宋_GB2312" w:eastAsia="仿宋_GB2312" w:cs="仿宋_GB2312"/>
          <w:sz w:val="32"/>
          <w:szCs w:val="32"/>
          <w:highlight w:val="none"/>
        </w:rPr>
        <w:t>整体发展的支持保障体系。</w:t>
      </w:r>
    </w:p>
    <w:p w14:paraId="7F137D7C">
      <w:pPr>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《规划》的编制与实施，是贯彻落实《国务院关于促进海洋渔业持续健康发展的若干意见》(国发〔2013〕11 号)、广东省委农办及广东省农业农村厅印发《关于加快海洋渔业转型升级促进现代化海洋牧场高质量发展的若干措施》（粤委农办函〔2023〕29 号），深入贯彻习近平总书记对广东系列重要讲话和重要指示精神，践行大食物观，对阳东区域范围现代化海洋牧场建设作出</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总体安排和综合部署，将有力支撑阳东区现代化海洋牧场高质量发展。</w:t>
      </w:r>
    </w:p>
    <w:sectPr>
      <w:footerReference r:id="rId5" w:type="default"/>
      <w:pgSz w:w="11906" w:h="16838"/>
      <w:pgMar w:top="1417" w:right="1587" w:bottom="1417" w:left="1587"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1B643">
    <w:pPr>
      <w:pStyle w:val="6"/>
      <w:ind w:firstLine="480"/>
      <w:jc w:val="center"/>
    </w:pPr>
    <w:r>
      <w:rPr>
        <w:rStyle w:val="11"/>
        <w:sz w:val="24"/>
        <w:szCs w:val="24"/>
      </w:rPr>
      <w:t>—</w:t>
    </w: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rPr>
      <w:t>7</w:t>
    </w:r>
    <w:r>
      <w:rPr>
        <w:rStyle w:val="11"/>
        <w:sz w:val="24"/>
        <w:szCs w:val="24"/>
      </w:rPr>
      <w:fldChar w:fldCharType="end"/>
    </w:r>
    <w:r>
      <w:rPr>
        <w:rStyle w:val="11"/>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00"/>
      </w:pPr>
      <w:r>
        <w:separator/>
      </w:r>
    </w:p>
  </w:footnote>
  <w:footnote w:type="continuationSeparator" w:id="1">
    <w:p>
      <w:pPr>
        <w:spacing w:before="0" w:after="0"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50"/>
  <w:drawingGridVerticalSpacing w:val="204"/>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B9D"/>
    <w:rsid w:val="000079DB"/>
    <w:rsid w:val="00026B3A"/>
    <w:rsid w:val="000320CE"/>
    <w:rsid w:val="000328F9"/>
    <w:rsid w:val="00034A54"/>
    <w:rsid w:val="00034EBC"/>
    <w:rsid w:val="00043E3E"/>
    <w:rsid w:val="00046985"/>
    <w:rsid w:val="00053300"/>
    <w:rsid w:val="00055F7B"/>
    <w:rsid w:val="00066FAD"/>
    <w:rsid w:val="00081F09"/>
    <w:rsid w:val="0008628A"/>
    <w:rsid w:val="00094837"/>
    <w:rsid w:val="00094EF7"/>
    <w:rsid w:val="000B1E0B"/>
    <w:rsid w:val="000B3FA0"/>
    <w:rsid w:val="000B5AD4"/>
    <w:rsid w:val="000C0C79"/>
    <w:rsid w:val="000E0C92"/>
    <w:rsid w:val="000F469A"/>
    <w:rsid w:val="001018DE"/>
    <w:rsid w:val="00105806"/>
    <w:rsid w:val="001201D4"/>
    <w:rsid w:val="00121E20"/>
    <w:rsid w:val="0012203C"/>
    <w:rsid w:val="00135923"/>
    <w:rsid w:val="0014261C"/>
    <w:rsid w:val="00146B02"/>
    <w:rsid w:val="0014701C"/>
    <w:rsid w:val="00155064"/>
    <w:rsid w:val="0016736F"/>
    <w:rsid w:val="001847D4"/>
    <w:rsid w:val="00184FB2"/>
    <w:rsid w:val="0018713D"/>
    <w:rsid w:val="00196B7B"/>
    <w:rsid w:val="00197E3B"/>
    <w:rsid w:val="001A2EDA"/>
    <w:rsid w:val="001B14EB"/>
    <w:rsid w:val="001B6846"/>
    <w:rsid w:val="001C3C8B"/>
    <w:rsid w:val="001C4CCC"/>
    <w:rsid w:val="001E5B3B"/>
    <w:rsid w:val="001F6FA9"/>
    <w:rsid w:val="0020197C"/>
    <w:rsid w:val="0021668D"/>
    <w:rsid w:val="00216D0D"/>
    <w:rsid w:val="00220A5E"/>
    <w:rsid w:val="00223053"/>
    <w:rsid w:val="002252CE"/>
    <w:rsid w:val="00246CCF"/>
    <w:rsid w:val="00247B03"/>
    <w:rsid w:val="00264B7C"/>
    <w:rsid w:val="0028302E"/>
    <w:rsid w:val="00284487"/>
    <w:rsid w:val="002853BF"/>
    <w:rsid w:val="002917AC"/>
    <w:rsid w:val="00292179"/>
    <w:rsid w:val="002938DC"/>
    <w:rsid w:val="002A06A6"/>
    <w:rsid w:val="002A5279"/>
    <w:rsid w:val="002A56AD"/>
    <w:rsid w:val="002B3A02"/>
    <w:rsid w:val="002B553D"/>
    <w:rsid w:val="002B7541"/>
    <w:rsid w:val="002C3BBA"/>
    <w:rsid w:val="002D04B5"/>
    <w:rsid w:val="002E0A32"/>
    <w:rsid w:val="002E65B0"/>
    <w:rsid w:val="00320CFC"/>
    <w:rsid w:val="00326606"/>
    <w:rsid w:val="00336320"/>
    <w:rsid w:val="00337701"/>
    <w:rsid w:val="00337E62"/>
    <w:rsid w:val="00337F45"/>
    <w:rsid w:val="00340C83"/>
    <w:rsid w:val="00350645"/>
    <w:rsid w:val="00361201"/>
    <w:rsid w:val="003767FF"/>
    <w:rsid w:val="00383828"/>
    <w:rsid w:val="00387495"/>
    <w:rsid w:val="003953E8"/>
    <w:rsid w:val="00396458"/>
    <w:rsid w:val="003A2AD5"/>
    <w:rsid w:val="003A4E7E"/>
    <w:rsid w:val="003B4C83"/>
    <w:rsid w:val="003B7CB3"/>
    <w:rsid w:val="003C287B"/>
    <w:rsid w:val="003C6C2B"/>
    <w:rsid w:val="003D1CCC"/>
    <w:rsid w:val="003E4C8F"/>
    <w:rsid w:val="003F0371"/>
    <w:rsid w:val="00403C35"/>
    <w:rsid w:val="00405547"/>
    <w:rsid w:val="00410374"/>
    <w:rsid w:val="00412081"/>
    <w:rsid w:val="00414E3C"/>
    <w:rsid w:val="00415293"/>
    <w:rsid w:val="004225DD"/>
    <w:rsid w:val="00422750"/>
    <w:rsid w:val="00423E8F"/>
    <w:rsid w:val="00427457"/>
    <w:rsid w:val="00431CED"/>
    <w:rsid w:val="00431DAF"/>
    <w:rsid w:val="004427C7"/>
    <w:rsid w:val="00452DFD"/>
    <w:rsid w:val="00461C80"/>
    <w:rsid w:val="004640EB"/>
    <w:rsid w:val="004711C5"/>
    <w:rsid w:val="00491377"/>
    <w:rsid w:val="004915B7"/>
    <w:rsid w:val="004A0C33"/>
    <w:rsid w:val="004A7D92"/>
    <w:rsid w:val="004B17A7"/>
    <w:rsid w:val="004C0D0A"/>
    <w:rsid w:val="004C5B88"/>
    <w:rsid w:val="004E29F0"/>
    <w:rsid w:val="004F5983"/>
    <w:rsid w:val="00502842"/>
    <w:rsid w:val="0050535D"/>
    <w:rsid w:val="00510F7E"/>
    <w:rsid w:val="00521311"/>
    <w:rsid w:val="0052488B"/>
    <w:rsid w:val="005318E8"/>
    <w:rsid w:val="00532FDC"/>
    <w:rsid w:val="00542A45"/>
    <w:rsid w:val="00545B3A"/>
    <w:rsid w:val="00546F5C"/>
    <w:rsid w:val="0055176A"/>
    <w:rsid w:val="005539DE"/>
    <w:rsid w:val="0057080F"/>
    <w:rsid w:val="00571764"/>
    <w:rsid w:val="00574A10"/>
    <w:rsid w:val="00586A00"/>
    <w:rsid w:val="005A0D3E"/>
    <w:rsid w:val="005A0D6F"/>
    <w:rsid w:val="005B2FD5"/>
    <w:rsid w:val="005B5BD8"/>
    <w:rsid w:val="005B6796"/>
    <w:rsid w:val="005C1488"/>
    <w:rsid w:val="005D14E2"/>
    <w:rsid w:val="005E4F8F"/>
    <w:rsid w:val="005F7286"/>
    <w:rsid w:val="005F7709"/>
    <w:rsid w:val="00600724"/>
    <w:rsid w:val="00636906"/>
    <w:rsid w:val="00641720"/>
    <w:rsid w:val="006520A8"/>
    <w:rsid w:val="00665AA6"/>
    <w:rsid w:val="00666404"/>
    <w:rsid w:val="00667C45"/>
    <w:rsid w:val="00680D21"/>
    <w:rsid w:val="00696F94"/>
    <w:rsid w:val="006A03E4"/>
    <w:rsid w:val="006A4F20"/>
    <w:rsid w:val="006A5DDA"/>
    <w:rsid w:val="006B4C97"/>
    <w:rsid w:val="006C4C1A"/>
    <w:rsid w:val="006C5D4F"/>
    <w:rsid w:val="006E4AA6"/>
    <w:rsid w:val="006F1046"/>
    <w:rsid w:val="006F1D47"/>
    <w:rsid w:val="006F745B"/>
    <w:rsid w:val="00704D65"/>
    <w:rsid w:val="00705CEC"/>
    <w:rsid w:val="0070649B"/>
    <w:rsid w:val="00706EF6"/>
    <w:rsid w:val="00721E3F"/>
    <w:rsid w:val="00722FEC"/>
    <w:rsid w:val="0073333A"/>
    <w:rsid w:val="007622D0"/>
    <w:rsid w:val="007732D1"/>
    <w:rsid w:val="00780698"/>
    <w:rsid w:val="0079634C"/>
    <w:rsid w:val="007970CA"/>
    <w:rsid w:val="007A76E8"/>
    <w:rsid w:val="007A778E"/>
    <w:rsid w:val="007C4D46"/>
    <w:rsid w:val="007D0E48"/>
    <w:rsid w:val="007D7802"/>
    <w:rsid w:val="007E0F4C"/>
    <w:rsid w:val="0081421E"/>
    <w:rsid w:val="00841C87"/>
    <w:rsid w:val="008465C2"/>
    <w:rsid w:val="00865FB2"/>
    <w:rsid w:val="00867D6F"/>
    <w:rsid w:val="00874729"/>
    <w:rsid w:val="00884D81"/>
    <w:rsid w:val="00891FE4"/>
    <w:rsid w:val="00893163"/>
    <w:rsid w:val="008A3F60"/>
    <w:rsid w:val="008B237C"/>
    <w:rsid w:val="008B6060"/>
    <w:rsid w:val="008C45EF"/>
    <w:rsid w:val="00902BBA"/>
    <w:rsid w:val="00915501"/>
    <w:rsid w:val="00923883"/>
    <w:rsid w:val="00927872"/>
    <w:rsid w:val="00934E86"/>
    <w:rsid w:val="00951BB3"/>
    <w:rsid w:val="00955B81"/>
    <w:rsid w:val="00957B4F"/>
    <w:rsid w:val="00961F32"/>
    <w:rsid w:val="00964A1F"/>
    <w:rsid w:val="00964AAB"/>
    <w:rsid w:val="00981A1C"/>
    <w:rsid w:val="00986A02"/>
    <w:rsid w:val="00992833"/>
    <w:rsid w:val="009930B6"/>
    <w:rsid w:val="00996D3C"/>
    <w:rsid w:val="00996FED"/>
    <w:rsid w:val="009A2FD8"/>
    <w:rsid w:val="009A3460"/>
    <w:rsid w:val="009A3785"/>
    <w:rsid w:val="009A3D64"/>
    <w:rsid w:val="009A6072"/>
    <w:rsid w:val="009B5ADF"/>
    <w:rsid w:val="009B5C48"/>
    <w:rsid w:val="009E0EA0"/>
    <w:rsid w:val="009E17F8"/>
    <w:rsid w:val="009F0BAE"/>
    <w:rsid w:val="009F202A"/>
    <w:rsid w:val="009F23F5"/>
    <w:rsid w:val="00A00F0B"/>
    <w:rsid w:val="00A01BA5"/>
    <w:rsid w:val="00A045E0"/>
    <w:rsid w:val="00A0492E"/>
    <w:rsid w:val="00A124B5"/>
    <w:rsid w:val="00A22264"/>
    <w:rsid w:val="00A43139"/>
    <w:rsid w:val="00A504A1"/>
    <w:rsid w:val="00A51BCF"/>
    <w:rsid w:val="00A610AA"/>
    <w:rsid w:val="00A6726F"/>
    <w:rsid w:val="00A81084"/>
    <w:rsid w:val="00A860FD"/>
    <w:rsid w:val="00A90C66"/>
    <w:rsid w:val="00A92D05"/>
    <w:rsid w:val="00A96279"/>
    <w:rsid w:val="00A979DD"/>
    <w:rsid w:val="00AA1D08"/>
    <w:rsid w:val="00AA2DA9"/>
    <w:rsid w:val="00AA60D7"/>
    <w:rsid w:val="00AC17D0"/>
    <w:rsid w:val="00AC2978"/>
    <w:rsid w:val="00AC7441"/>
    <w:rsid w:val="00AD6E45"/>
    <w:rsid w:val="00AE6A1F"/>
    <w:rsid w:val="00AF7BF6"/>
    <w:rsid w:val="00B021A0"/>
    <w:rsid w:val="00B0268A"/>
    <w:rsid w:val="00B04699"/>
    <w:rsid w:val="00B04E32"/>
    <w:rsid w:val="00B067C6"/>
    <w:rsid w:val="00B14DD5"/>
    <w:rsid w:val="00B2352D"/>
    <w:rsid w:val="00B36AA0"/>
    <w:rsid w:val="00B37FD3"/>
    <w:rsid w:val="00B40D75"/>
    <w:rsid w:val="00B52F36"/>
    <w:rsid w:val="00B541EE"/>
    <w:rsid w:val="00B56990"/>
    <w:rsid w:val="00B572A9"/>
    <w:rsid w:val="00B7054D"/>
    <w:rsid w:val="00B71412"/>
    <w:rsid w:val="00B75F13"/>
    <w:rsid w:val="00B81311"/>
    <w:rsid w:val="00B83709"/>
    <w:rsid w:val="00B8524F"/>
    <w:rsid w:val="00B85705"/>
    <w:rsid w:val="00B94EEF"/>
    <w:rsid w:val="00BA2DC1"/>
    <w:rsid w:val="00BA57A3"/>
    <w:rsid w:val="00BA6471"/>
    <w:rsid w:val="00BB1E7D"/>
    <w:rsid w:val="00BB42BB"/>
    <w:rsid w:val="00BB53A3"/>
    <w:rsid w:val="00BC000D"/>
    <w:rsid w:val="00BD6EAA"/>
    <w:rsid w:val="00BE0720"/>
    <w:rsid w:val="00BE2809"/>
    <w:rsid w:val="00BE5719"/>
    <w:rsid w:val="00BF2556"/>
    <w:rsid w:val="00BF3909"/>
    <w:rsid w:val="00C004FD"/>
    <w:rsid w:val="00C017A8"/>
    <w:rsid w:val="00C32B12"/>
    <w:rsid w:val="00C3420E"/>
    <w:rsid w:val="00C45608"/>
    <w:rsid w:val="00C45CB5"/>
    <w:rsid w:val="00C46505"/>
    <w:rsid w:val="00C80879"/>
    <w:rsid w:val="00C977A7"/>
    <w:rsid w:val="00CA02A2"/>
    <w:rsid w:val="00CA0DFD"/>
    <w:rsid w:val="00CA236A"/>
    <w:rsid w:val="00CA249B"/>
    <w:rsid w:val="00CA6573"/>
    <w:rsid w:val="00CA7545"/>
    <w:rsid w:val="00CC30CB"/>
    <w:rsid w:val="00CD1DB2"/>
    <w:rsid w:val="00CD4F0E"/>
    <w:rsid w:val="00CE1D51"/>
    <w:rsid w:val="00CE5400"/>
    <w:rsid w:val="00CF2049"/>
    <w:rsid w:val="00D072DC"/>
    <w:rsid w:val="00D07B03"/>
    <w:rsid w:val="00D10589"/>
    <w:rsid w:val="00D134B8"/>
    <w:rsid w:val="00D15CE1"/>
    <w:rsid w:val="00D574F9"/>
    <w:rsid w:val="00D602CE"/>
    <w:rsid w:val="00D61E58"/>
    <w:rsid w:val="00D7413C"/>
    <w:rsid w:val="00D741E5"/>
    <w:rsid w:val="00D74430"/>
    <w:rsid w:val="00D74FA4"/>
    <w:rsid w:val="00D825C3"/>
    <w:rsid w:val="00D84A42"/>
    <w:rsid w:val="00D86230"/>
    <w:rsid w:val="00D86286"/>
    <w:rsid w:val="00D94B3A"/>
    <w:rsid w:val="00DA4F5B"/>
    <w:rsid w:val="00DB5DCB"/>
    <w:rsid w:val="00DC7243"/>
    <w:rsid w:val="00DC77ED"/>
    <w:rsid w:val="00DD2B32"/>
    <w:rsid w:val="00DF0F39"/>
    <w:rsid w:val="00DF2E78"/>
    <w:rsid w:val="00E03F4E"/>
    <w:rsid w:val="00E224F3"/>
    <w:rsid w:val="00E24288"/>
    <w:rsid w:val="00E245F9"/>
    <w:rsid w:val="00E318D3"/>
    <w:rsid w:val="00E37F16"/>
    <w:rsid w:val="00E44282"/>
    <w:rsid w:val="00E45402"/>
    <w:rsid w:val="00E5463F"/>
    <w:rsid w:val="00E549D9"/>
    <w:rsid w:val="00E56743"/>
    <w:rsid w:val="00E702E7"/>
    <w:rsid w:val="00E71B7F"/>
    <w:rsid w:val="00E73E45"/>
    <w:rsid w:val="00E825CC"/>
    <w:rsid w:val="00E83561"/>
    <w:rsid w:val="00E858B3"/>
    <w:rsid w:val="00E9295A"/>
    <w:rsid w:val="00E938C6"/>
    <w:rsid w:val="00E93C5D"/>
    <w:rsid w:val="00E94413"/>
    <w:rsid w:val="00E9578B"/>
    <w:rsid w:val="00E97034"/>
    <w:rsid w:val="00E97CB9"/>
    <w:rsid w:val="00E97EE8"/>
    <w:rsid w:val="00EA3E06"/>
    <w:rsid w:val="00EB1198"/>
    <w:rsid w:val="00EB6DCC"/>
    <w:rsid w:val="00EC5C9E"/>
    <w:rsid w:val="00ED63CA"/>
    <w:rsid w:val="00EF00D9"/>
    <w:rsid w:val="00F05359"/>
    <w:rsid w:val="00F073B6"/>
    <w:rsid w:val="00F22B8E"/>
    <w:rsid w:val="00F36C1F"/>
    <w:rsid w:val="00F53A64"/>
    <w:rsid w:val="00F561FB"/>
    <w:rsid w:val="00F7148E"/>
    <w:rsid w:val="00F85372"/>
    <w:rsid w:val="00F96C76"/>
    <w:rsid w:val="00FA02CF"/>
    <w:rsid w:val="00FA278A"/>
    <w:rsid w:val="00FA2C60"/>
    <w:rsid w:val="00FA50AE"/>
    <w:rsid w:val="00FB1064"/>
    <w:rsid w:val="00FB5E50"/>
    <w:rsid w:val="00FB65B8"/>
    <w:rsid w:val="00FC1317"/>
    <w:rsid w:val="00FC1F5E"/>
    <w:rsid w:val="00FC264F"/>
    <w:rsid w:val="00FD1417"/>
    <w:rsid w:val="00FD2129"/>
    <w:rsid w:val="00FD7078"/>
    <w:rsid w:val="00FE3C9B"/>
    <w:rsid w:val="00FE763E"/>
    <w:rsid w:val="00FE7842"/>
    <w:rsid w:val="03CE6E4F"/>
    <w:rsid w:val="05A131E3"/>
    <w:rsid w:val="05D40799"/>
    <w:rsid w:val="07277FC9"/>
    <w:rsid w:val="0CC524D0"/>
    <w:rsid w:val="0DB31E2A"/>
    <w:rsid w:val="0E4761C0"/>
    <w:rsid w:val="10FE14EA"/>
    <w:rsid w:val="11332BD5"/>
    <w:rsid w:val="12730595"/>
    <w:rsid w:val="13AB7850"/>
    <w:rsid w:val="159B6280"/>
    <w:rsid w:val="17884761"/>
    <w:rsid w:val="1BBB6955"/>
    <w:rsid w:val="1D281CF6"/>
    <w:rsid w:val="1F666BD8"/>
    <w:rsid w:val="200770BD"/>
    <w:rsid w:val="204646BE"/>
    <w:rsid w:val="205A4321"/>
    <w:rsid w:val="21625938"/>
    <w:rsid w:val="22143750"/>
    <w:rsid w:val="261C0035"/>
    <w:rsid w:val="29A3321C"/>
    <w:rsid w:val="29EA5673"/>
    <w:rsid w:val="2A810826"/>
    <w:rsid w:val="2BD3716A"/>
    <w:rsid w:val="2C0E4299"/>
    <w:rsid w:val="2CC65778"/>
    <w:rsid w:val="2F805A94"/>
    <w:rsid w:val="32AA4068"/>
    <w:rsid w:val="330F4F69"/>
    <w:rsid w:val="34AB2726"/>
    <w:rsid w:val="39932516"/>
    <w:rsid w:val="3B750477"/>
    <w:rsid w:val="3C9335BE"/>
    <w:rsid w:val="3E142C0F"/>
    <w:rsid w:val="3EE41356"/>
    <w:rsid w:val="42D04785"/>
    <w:rsid w:val="44BF6C07"/>
    <w:rsid w:val="4A6B17E3"/>
    <w:rsid w:val="4A90048D"/>
    <w:rsid w:val="4B3828FE"/>
    <w:rsid w:val="4BFE403A"/>
    <w:rsid w:val="4C545798"/>
    <w:rsid w:val="4E8918D0"/>
    <w:rsid w:val="5080602F"/>
    <w:rsid w:val="50D40E43"/>
    <w:rsid w:val="513A7A44"/>
    <w:rsid w:val="526A6918"/>
    <w:rsid w:val="52B72EA2"/>
    <w:rsid w:val="535B3A4F"/>
    <w:rsid w:val="53FD3172"/>
    <w:rsid w:val="566F4E48"/>
    <w:rsid w:val="57695F2C"/>
    <w:rsid w:val="58487760"/>
    <w:rsid w:val="58B6276E"/>
    <w:rsid w:val="5B170624"/>
    <w:rsid w:val="5C20692D"/>
    <w:rsid w:val="5C7E485A"/>
    <w:rsid w:val="5E0837E0"/>
    <w:rsid w:val="5F5D22E6"/>
    <w:rsid w:val="602D65BF"/>
    <w:rsid w:val="61323D32"/>
    <w:rsid w:val="63207C9A"/>
    <w:rsid w:val="645009E1"/>
    <w:rsid w:val="65C91E34"/>
    <w:rsid w:val="68147D12"/>
    <w:rsid w:val="682A63C3"/>
    <w:rsid w:val="6E986BAB"/>
    <w:rsid w:val="6EF5506B"/>
    <w:rsid w:val="6F501373"/>
    <w:rsid w:val="6F58351E"/>
    <w:rsid w:val="715F7D32"/>
    <w:rsid w:val="754C053D"/>
    <w:rsid w:val="79E1066B"/>
    <w:rsid w:val="79E576FD"/>
    <w:rsid w:val="7B4E19CC"/>
    <w:rsid w:val="7D650FE1"/>
    <w:rsid w:val="7D7206C2"/>
    <w:rsid w:val="7F1B0068"/>
    <w:rsid w:val="7F7915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line="560" w:lineRule="exact"/>
      <w:ind w:firstLine="200" w:firstLineChars="200"/>
      <w:jc w:val="both"/>
    </w:pPr>
    <w:rPr>
      <w:rFonts w:ascii="Times New Roman" w:hAnsi="Times New Roman" w:eastAsia="仿宋_GB2312" w:cs="仿宋_GB2312"/>
      <w:color w:val="000000" w:themeColor="text1"/>
      <w:kern w:val="2"/>
      <w:sz w:val="30"/>
      <w:szCs w:val="30"/>
      <w:lang w:val="en-US" w:eastAsia="zh-CN" w:bidi="ar-SA"/>
      <w14:textFill>
        <w14:solidFill>
          <w14:schemeClr w14:val="tx1"/>
        </w14:solidFill>
      </w14:textFill>
    </w:rPr>
  </w:style>
  <w:style w:type="paragraph" w:styleId="2">
    <w:name w:val="heading 1"/>
    <w:basedOn w:val="1"/>
    <w:next w:val="1"/>
    <w:link w:val="13"/>
    <w:qFormat/>
    <w:locked/>
    <w:uiPriority w:val="0"/>
    <w:pPr>
      <w:ind w:firstLine="643"/>
      <w:jc w:val="center"/>
      <w:outlineLvl w:val="0"/>
    </w:pPr>
    <w:rPr>
      <w:rFonts w:asciiTheme="majorEastAsia" w:hAnsiTheme="majorEastAsia" w:eastAsiaTheme="majorEastAsia"/>
      <w:b/>
      <w:bCs/>
      <w:sz w:val="32"/>
      <w:szCs w:val="32"/>
    </w:rPr>
  </w:style>
  <w:style w:type="paragraph" w:styleId="3">
    <w:name w:val="heading 2"/>
    <w:basedOn w:val="1"/>
    <w:next w:val="1"/>
    <w:link w:val="14"/>
    <w:unhideWhenUsed/>
    <w:qFormat/>
    <w:locked/>
    <w:uiPriority w:val="0"/>
    <w:pPr>
      <w:spacing w:before="50" w:beforeLines="50" w:after="50" w:afterLines="50"/>
      <w:outlineLvl w:val="1"/>
    </w:pPr>
    <w:rPr>
      <w:b/>
      <w:bCs/>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semiHidden/>
    <w:qFormat/>
    <w:uiPriority w:val="99"/>
    <w:rPr>
      <w:rFonts w:ascii="宋体" w:cs="宋体"/>
      <w:sz w:val="18"/>
      <w:szCs w:val="18"/>
    </w:rPr>
  </w:style>
  <w:style w:type="paragraph" w:styleId="5">
    <w:name w:val="Balloon Text"/>
    <w:basedOn w:val="1"/>
    <w:link w:val="19"/>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Autospacing="1"/>
      <w:jc w:val="left"/>
    </w:pPr>
    <w:rPr>
      <w:rFonts w:cs="Times New Roman"/>
      <w:kern w:val="0"/>
      <w:sz w:val="24"/>
    </w:rPr>
  </w:style>
  <w:style w:type="character" w:styleId="11">
    <w:name w:val="page number"/>
    <w:basedOn w:val="10"/>
    <w:qFormat/>
    <w:uiPriority w:val="99"/>
  </w:style>
  <w:style w:type="character" w:styleId="12">
    <w:name w:val="Emphasis"/>
    <w:basedOn w:val="10"/>
    <w:qFormat/>
    <w:locked/>
    <w:uiPriority w:val="0"/>
    <w:rPr>
      <w:i/>
    </w:rPr>
  </w:style>
  <w:style w:type="character" w:customStyle="1" w:styleId="13">
    <w:name w:val="标题 1 字符"/>
    <w:basedOn w:val="10"/>
    <w:link w:val="2"/>
    <w:qFormat/>
    <w:uiPriority w:val="0"/>
    <w:rPr>
      <w:rFonts w:cs="仿宋_GB2312" w:asciiTheme="majorEastAsia" w:hAnsiTheme="majorEastAsia" w:eastAsiaTheme="majorEastAsia"/>
      <w:b/>
      <w:bCs/>
      <w:color w:val="000000" w:themeColor="text1"/>
      <w:kern w:val="2"/>
      <w:sz w:val="32"/>
      <w:szCs w:val="32"/>
      <w14:textFill>
        <w14:solidFill>
          <w14:schemeClr w14:val="tx1"/>
        </w14:solidFill>
      </w14:textFill>
    </w:rPr>
  </w:style>
  <w:style w:type="character" w:customStyle="1" w:styleId="14">
    <w:name w:val="标题 2 字符"/>
    <w:basedOn w:val="10"/>
    <w:link w:val="3"/>
    <w:qFormat/>
    <w:uiPriority w:val="0"/>
    <w:rPr>
      <w:rFonts w:eastAsia="仿宋_GB2312" w:cs="仿宋_GB2312"/>
      <w:b/>
      <w:bCs/>
      <w:color w:val="000000" w:themeColor="text1"/>
      <w:kern w:val="2"/>
      <w:sz w:val="30"/>
      <w:szCs w:val="30"/>
      <w14:textFill>
        <w14:solidFill>
          <w14:schemeClr w14:val="tx1"/>
        </w14:solidFill>
      </w14:textFill>
    </w:rPr>
  </w:style>
  <w:style w:type="character" w:customStyle="1" w:styleId="15">
    <w:name w:val="页脚 字符"/>
    <w:basedOn w:val="10"/>
    <w:link w:val="6"/>
    <w:semiHidden/>
    <w:qFormat/>
    <w:uiPriority w:val="99"/>
    <w:rPr>
      <w:sz w:val="18"/>
      <w:szCs w:val="18"/>
    </w:rPr>
  </w:style>
  <w:style w:type="paragraph" w:customStyle="1" w:styleId="16">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17">
    <w:name w:val="页眉 字符"/>
    <w:basedOn w:val="10"/>
    <w:link w:val="7"/>
    <w:semiHidden/>
    <w:qFormat/>
    <w:uiPriority w:val="99"/>
    <w:rPr>
      <w:sz w:val="18"/>
      <w:szCs w:val="18"/>
    </w:rPr>
  </w:style>
  <w:style w:type="character" w:customStyle="1" w:styleId="18">
    <w:name w:val="文档结构图 字符"/>
    <w:basedOn w:val="10"/>
    <w:link w:val="4"/>
    <w:qFormat/>
    <w:locked/>
    <w:uiPriority w:val="99"/>
    <w:rPr>
      <w:rFonts w:ascii="宋体" w:cs="宋体"/>
      <w:kern w:val="2"/>
      <w:sz w:val="18"/>
      <w:szCs w:val="18"/>
    </w:rPr>
  </w:style>
  <w:style w:type="character" w:customStyle="1" w:styleId="19">
    <w:name w:val="批注框文本 字符"/>
    <w:basedOn w:val="10"/>
    <w:link w:val="5"/>
    <w:qFormat/>
    <w:locked/>
    <w:uiPriority w:val="99"/>
    <w:rPr>
      <w:kern w:val="2"/>
      <w:sz w:val="18"/>
      <w:szCs w:val="18"/>
    </w:rPr>
  </w:style>
  <w:style w:type="paragraph" w:customStyle="1" w:styleId="20">
    <w:name w:val="修订1"/>
    <w:hidden/>
    <w:semiHidden/>
    <w:qFormat/>
    <w:uiPriority w:val="99"/>
    <w:rPr>
      <w:rFonts w:ascii="Times New Roman" w:hAnsi="Times New Roman" w:eastAsia="宋体" w:cs="Times New Roman"/>
      <w:kern w:val="2"/>
      <w:sz w:val="21"/>
      <w:szCs w:val="21"/>
      <w:lang w:val="en-US" w:eastAsia="zh-CN" w:bidi="ar-SA"/>
    </w:rPr>
  </w:style>
  <w:style w:type="paragraph" w:styleId="21">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2879</Words>
  <Characters>3064</Characters>
  <Lines>20</Lines>
  <Paragraphs>5</Paragraphs>
  <TotalTime>17</TotalTime>
  <ScaleCrop>false</ScaleCrop>
  <LinksUpToDate>false</LinksUpToDate>
  <CharactersWithSpaces>3104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2024-12-10T12:58:00Z</dcterms:created>
  <dc:creator>admin</dc:creator>
  <cp:lastModifiedBy>WPS_1686539829</cp:lastModifiedBy>
  <cp:lastPrinted>2021-03-19T06:06:00Z</cp:lastPrinted>
  <dcterms:modified xsi:type="dcterms:W3CDTF">2024-12-20T02:18:30Z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46DF6AFFF9484CFBB4394CCBB02C6BD3_13</vt:lpwstr>
  </property>
  <property fmtid="{D5CDD505-2E9C-101B-9397-08002B2CF9AE}" pid="4" name="KSOTemplateDocerSaveRecord">
    <vt:lpwstr>eyJoZGlkIjoiMTk5N2NhNjdiMjAzMDY0ZmQwYjBlZGQ4ZDhmNGRmN2EiLCJ1c2VySWQiOiIxNDk5NDI1Mjk3In0=</vt:lpwstr>
  </property>
</Properties>
</file>