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49B874">
      <w:pPr>
        <w:ind w:firstLine="640"/>
        <w:rPr>
          <w:rFonts w:hint="eastAsia"/>
          <w:sz w:val="32"/>
          <w:szCs w:val="32"/>
          <w:highlight w:val="none"/>
        </w:rPr>
      </w:pPr>
    </w:p>
    <w:p w14:paraId="36361068">
      <w:pPr>
        <w:ind w:firstLine="0" w:firstLineChars="0"/>
        <w:jc w:val="center"/>
        <w:rPr>
          <w:rFonts w:asciiTheme="majorEastAsia" w:hAnsiTheme="majorEastAsia" w:eastAsiaTheme="majorEastAsia"/>
          <w:b/>
          <w:bCs/>
          <w:sz w:val="40"/>
          <w:szCs w:val="40"/>
          <w:highlight w:val="none"/>
        </w:rPr>
      </w:pPr>
      <w:r>
        <w:rPr>
          <w:rFonts w:hint="eastAsia" w:asciiTheme="majorEastAsia" w:hAnsiTheme="majorEastAsia" w:eastAsiaTheme="majorEastAsia"/>
          <w:b/>
          <w:bCs/>
          <w:sz w:val="40"/>
          <w:szCs w:val="40"/>
          <w:highlight w:val="none"/>
        </w:rPr>
        <w:t>《阳东国家级渔港经济区建设规划（征求意见稿）》起草说明</w:t>
      </w:r>
    </w:p>
    <w:p w14:paraId="6CB6D9CD">
      <w:pPr>
        <w:ind w:firstLine="600"/>
        <w:rPr>
          <w:highlight w:val="none"/>
        </w:rPr>
      </w:pPr>
    </w:p>
    <w:p w14:paraId="7982B5D3">
      <w:pPr>
        <w:pStyle w:val="2"/>
        <w:spacing w:before="145"/>
        <w:jc w:val="left"/>
        <w:rPr>
          <w:highlight w:val="none"/>
        </w:rPr>
      </w:pPr>
      <w:r>
        <w:rPr>
          <w:rFonts w:hint="eastAsia"/>
          <w:highlight w:val="none"/>
        </w:rPr>
        <w:t>一、编制背景</w:t>
      </w:r>
    </w:p>
    <w:p w14:paraId="2860AE39">
      <w:pPr>
        <w:ind w:firstLine="600"/>
        <w:rPr>
          <w:rFonts w:hint="eastAsia" w:ascii="仿宋_GB2312" w:hAnsi="仿宋_GB2312" w:eastAsia="仿宋_GB2312" w:cs="仿宋_GB2312"/>
          <w:sz w:val="30"/>
          <w:szCs w:val="30"/>
          <w:highlight w:val="none"/>
        </w:rPr>
      </w:pPr>
      <w:r>
        <w:rPr>
          <w:rFonts w:hint="eastAsia" w:ascii="仿宋_GB2312" w:hAnsi="仿宋_GB2312" w:eastAsia="仿宋_GB2312" w:cs="仿宋_GB2312"/>
          <w:sz w:val="30"/>
          <w:szCs w:val="30"/>
          <w:highlight w:val="none"/>
        </w:rPr>
        <w:t>紧紧围绕发展海洋经济推动建设海洋强国战略，我国是世界海洋强国，也是渔业大国，渔船数、渔民数和水产品产量均为世界第一。渔港既是渔业安全生产最重要的基础设施，也是开发海洋生物资源供需转化的桥头堡和经济枢纽，是沿海众多中小城镇经济发展的重要依托。渔港不仅仅是为渔船提供停泊和避风的场所，更是为捕捞业和养殖业提供必要的后方基地，条件优越的渔港还可以建成渔港经济区，具有精深加工、集散交易、休闲渔业</w:t>
      </w:r>
      <w:r>
        <w:rPr>
          <w:rFonts w:hint="eastAsia" w:ascii="仿宋_GB2312" w:hAnsi="仿宋_GB2312" w:eastAsia="仿宋_GB2312" w:cs="仿宋_GB2312"/>
          <w:sz w:val="30"/>
          <w:szCs w:val="30"/>
          <w:highlight w:val="none"/>
          <w:lang w:val="en-US" w:eastAsia="zh-CN"/>
        </w:rPr>
        <w:t>和</w:t>
      </w:r>
      <w:r>
        <w:rPr>
          <w:rFonts w:hint="eastAsia" w:ascii="仿宋_GB2312" w:hAnsi="仿宋_GB2312" w:eastAsia="仿宋_GB2312" w:cs="仿宋_GB2312"/>
          <w:sz w:val="30"/>
          <w:szCs w:val="30"/>
          <w:highlight w:val="none"/>
        </w:rPr>
        <w:t>港城建设等多重功能</w:t>
      </w:r>
      <w:r>
        <w:rPr>
          <w:rFonts w:hint="eastAsia" w:ascii="仿宋_GB2312" w:hAnsi="仿宋_GB2312" w:eastAsia="仿宋_GB2312" w:cs="仿宋_GB2312"/>
          <w:sz w:val="30"/>
          <w:szCs w:val="30"/>
          <w:highlight w:val="none"/>
          <w:lang w:eastAsia="zh-CN"/>
        </w:rPr>
        <w:t>，</w:t>
      </w:r>
      <w:r>
        <w:rPr>
          <w:rFonts w:hint="eastAsia" w:ascii="仿宋_GB2312" w:hAnsi="仿宋_GB2312" w:eastAsia="仿宋_GB2312" w:cs="仿宋_GB2312"/>
          <w:sz w:val="30"/>
          <w:szCs w:val="30"/>
          <w:highlight w:val="none"/>
          <w:lang w:val="en-US" w:eastAsia="zh-CN" w:bidi="ar-SA"/>
        </w:rPr>
        <w:t>促进渔业经济集聚、渔区全面振兴</w:t>
      </w:r>
      <w:r>
        <w:rPr>
          <w:rFonts w:hint="eastAsia" w:ascii="仿宋_GB2312" w:hAnsi="仿宋_GB2312" w:eastAsia="仿宋_GB2312" w:cs="仿宋_GB2312"/>
          <w:sz w:val="30"/>
          <w:szCs w:val="30"/>
          <w:highlight w:val="none"/>
        </w:rPr>
        <w:t>。</w:t>
      </w:r>
    </w:p>
    <w:p w14:paraId="52F7B5A1">
      <w:pPr>
        <w:ind w:firstLine="600"/>
        <w:rPr>
          <w:rFonts w:hint="eastAsia" w:ascii="仿宋_GB2312" w:hAnsi="仿宋_GB2312" w:eastAsia="仿宋_GB2312" w:cs="仿宋_GB2312"/>
          <w:sz w:val="30"/>
          <w:szCs w:val="30"/>
          <w:highlight w:val="none"/>
        </w:rPr>
      </w:pPr>
      <w:r>
        <w:rPr>
          <w:rFonts w:hint="eastAsia" w:ascii="仿宋_GB2312" w:hAnsi="仿宋_GB2312" w:eastAsia="仿宋_GB2312" w:cs="仿宋_GB2312"/>
          <w:sz w:val="30"/>
          <w:szCs w:val="30"/>
          <w:highlight w:val="none"/>
        </w:rPr>
        <w:t>以渔港经济区为承载的渔业创新融合发展是战略性新兴产业，是激活和焕发渔业经济新生机的重要抓手，是地方发展支柱性产业</w:t>
      </w:r>
      <w:r>
        <w:rPr>
          <w:rFonts w:hint="eastAsia" w:ascii="仿宋_GB2312" w:hAnsi="仿宋_GB2312" w:eastAsia="仿宋_GB2312" w:cs="仿宋_GB2312"/>
          <w:sz w:val="30"/>
          <w:szCs w:val="30"/>
          <w:highlight w:val="none"/>
          <w:lang w:val="en-US" w:eastAsia="zh-CN"/>
        </w:rPr>
        <w:t>的强劲支撑</w:t>
      </w:r>
      <w:r>
        <w:rPr>
          <w:rFonts w:hint="eastAsia" w:ascii="仿宋_GB2312" w:hAnsi="仿宋_GB2312" w:eastAsia="仿宋_GB2312" w:cs="仿宋_GB2312"/>
          <w:sz w:val="30"/>
          <w:szCs w:val="30"/>
          <w:highlight w:val="none"/>
        </w:rPr>
        <w:t>，是稳定农村和农业经济、推动乡村振兴的重要方式。近几年来，国家的重大战略和部署包括海洋强国战略、中央一号文件、高质量发展、绿色健康养殖发展、粤港澳大湾区发展等，对广东沿海重要城市建设渔港经济区的发展定位、区域功能、战略地位给予了明确的指引。为促进海洋渔业持续健康发展，加快形成渔港经济区，提高渔业防灾减灾能力，2018年，国家发展</w:t>
      </w:r>
      <w:r>
        <w:rPr>
          <w:rFonts w:hint="eastAsia" w:ascii="仿宋_GB2312" w:hAnsi="仿宋_GB2312" w:eastAsia="仿宋_GB2312" w:cs="仿宋_GB2312"/>
          <w:sz w:val="30"/>
          <w:szCs w:val="30"/>
          <w:highlight w:val="none"/>
          <w:lang w:val="en-US" w:eastAsia="zh-CN"/>
        </w:rPr>
        <w:t>和</w:t>
      </w:r>
      <w:r>
        <w:rPr>
          <w:rFonts w:hint="eastAsia" w:ascii="仿宋_GB2312" w:hAnsi="仿宋_GB2312" w:eastAsia="仿宋_GB2312" w:cs="仿宋_GB2312"/>
          <w:sz w:val="30"/>
          <w:szCs w:val="30"/>
          <w:highlight w:val="none"/>
        </w:rPr>
        <w:t>改革委员会同农业农村部在深入调研的基础上，组织编制了《全国沿海渔港建设规划（2018-2025年）》，规划建设93个渔港经济区，广东沿海渔港群重点包括饶平、南澳岛、汕头海门、揭阳、陆丰、汕尾（马宫）、惠州-深圳、珠江口、珠海、江门、阳东、海陵岛-阳西、茂名、湛江湾、遂溪-廉江、雷州、徐闻17个渔港经济区。2019年，广东省《关于推进现代农业高质量发展的指导意见》提出：统筹建设珠江口、珠海、江门、阳东、海陵岛-阳西等17个渔港经济区，强调统筹建设形成产业集聚、人流集聚和各种资源要素集聚且渔港基础设施建设标准化、规范化的渔港经济区，对于阳东渔港功能的发挥和拓展、渔区的建设与发展、产业的培育乃至集聚效应的形成都具有重要的推动作用，亦为本规划国家级渔港经济区的统筹推进和建设提供了强力的实施保障和发展指向。</w:t>
      </w:r>
    </w:p>
    <w:p w14:paraId="1A750862">
      <w:pPr>
        <w:pStyle w:val="2"/>
        <w:spacing w:before="145"/>
        <w:jc w:val="left"/>
        <w:rPr>
          <w:highlight w:val="none"/>
        </w:rPr>
      </w:pPr>
      <w:r>
        <w:rPr>
          <w:rFonts w:hint="eastAsia"/>
          <w:highlight w:val="none"/>
        </w:rPr>
        <w:t>二、编制依据</w:t>
      </w:r>
    </w:p>
    <w:p w14:paraId="107E27AC">
      <w:pPr>
        <w:ind w:firstLine="600"/>
        <w:rPr>
          <w:rFonts w:hint="eastAsia" w:ascii="仿宋_GB2312" w:hAnsi="仿宋_GB2312" w:eastAsia="仿宋_GB2312" w:cs="仿宋_GB2312"/>
          <w:highlight w:val="none"/>
        </w:rPr>
      </w:pPr>
      <w:r>
        <w:rPr>
          <w:rFonts w:hint="eastAsia" w:ascii="仿宋_GB2312" w:hAnsi="仿宋_GB2312" w:eastAsia="仿宋_GB2312" w:cs="仿宋_GB2312"/>
          <w:highlight w:val="none"/>
        </w:rPr>
        <w:t>《规划》依据《中华人民共和国渔业法》《中华人民共和国海域使用管理法》《中华人民共和国海岛保护法》《中华人民共和国环境影响评价法》《渔港总体设计规范》（SC/T 9010-2000）《海港总体设计规范》（JTS 165-2013）等相关法律法规及行政规范。结合《全国沿海渔港建设规划（2018-2025）》《关于推进现代农业高质量发展的指导意见》《广东省海洋经济发展“十四五”规划》《广东省渔港经济区总体布局规划（2021-2030年）》《广东省海岸带及海洋空间规划（2021-2035年）（送审稿）》《阳江市现代渔港建设总体规划（2015-2025年）》《阳江市阳东区养殖水域滩涂规划（2018-2030年）》《东平镇国土空间总体规划（2021-2035年）》等，以及《国土空间调查、规划、用途管制用地用海分类指南》等国家和地方相关法律法规及上位规划制定。</w:t>
      </w:r>
    </w:p>
    <w:p w14:paraId="168919E2">
      <w:pPr>
        <w:pStyle w:val="2"/>
        <w:spacing w:before="145"/>
        <w:jc w:val="left"/>
        <w:rPr>
          <w:highlight w:val="none"/>
        </w:rPr>
      </w:pPr>
      <w:r>
        <w:rPr>
          <w:rFonts w:hint="eastAsia"/>
          <w:highlight w:val="none"/>
        </w:rPr>
        <w:t>三、编制过程</w:t>
      </w:r>
    </w:p>
    <w:p w14:paraId="576B8135">
      <w:pPr>
        <w:ind w:firstLine="600"/>
        <w:rPr>
          <w:rFonts w:hint="eastAsia" w:ascii="仿宋_GB2312" w:hAnsi="仿宋_GB2312" w:eastAsia="仿宋_GB2312" w:cs="仿宋_GB2312"/>
          <w:highlight w:val="none"/>
        </w:rPr>
      </w:pPr>
      <w:r>
        <w:rPr>
          <w:rFonts w:hint="eastAsia" w:ascii="仿宋_GB2312" w:hAnsi="仿宋_GB2312" w:eastAsia="仿宋_GB2312" w:cs="仿宋_GB2312"/>
          <w:highlight w:val="none"/>
        </w:rPr>
        <w:t>为加快统筹推进建设渔港经济区，按照国家、省委关于渔港经济区建设的决策部署，特组织编制《阳东国家级渔港经济区建设规划》（以下简称《规划》）。于2024年1</w:t>
      </w:r>
      <w:r>
        <w:rPr>
          <w:rFonts w:hint="eastAsia" w:ascii="仿宋_GB2312" w:hAnsi="仿宋_GB2312" w:eastAsia="仿宋_GB2312" w:cs="仿宋_GB2312"/>
          <w:highlight w:val="none"/>
          <w:lang w:val="en-US" w:eastAsia="zh-CN"/>
        </w:rPr>
        <w:t>2</w:t>
      </w:r>
      <w:r>
        <w:rPr>
          <w:rFonts w:hint="eastAsia" w:ascii="仿宋_GB2312" w:hAnsi="仿宋_GB2312" w:eastAsia="仿宋_GB2312" w:cs="仿宋_GB2312"/>
          <w:highlight w:val="none"/>
        </w:rPr>
        <w:t>月</w:t>
      </w:r>
      <w:r>
        <w:rPr>
          <w:rFonts w:hint="eastAsia" w:ascii="仿宋_GB2312" w:hAnsi="仿宋_GB2312" w:eastAsia="仿宋_GB2312" w:cs="仿宋_GB2312"/>
          <w:highlight w:val="none"/>
          <w:lang w:val="en-US" w:eastAsia="zh-CN"/>
        </w:rPr>
        <w:t>6</w:t>
      </w:r>
      <w:r>
        <w:rPr>
          <w:rFonts w:hint="eastAsia" w:ascii="仿宋_GB2312" w:hAnsi="仿宋_GB2312" w:eastAsia="仿宋_GB2312" w:cs="仿宋_GB2312"/>
          <w:highlight w:val="none"/>
        </w:rPr>
        <w:t>日在广东省网上中介服务超市确定广州南方创意规划设计有限公司为《规划》编制单位。编制单位在</w:t>
      </w:r>
      <w:r>
        <w:rPr>
          <w:rFonts w:hint="eastAsia" w:ascii="仿宋_GB2312" w:hAnsi="仿宋_GB2312" w:eastAsia="仿宋_GB2312" w:cs="仿宋_GB2312"/>
          <w:highlight w:val="none"/>
          <w:lang w:val="en-US" w:eastAsia="zh-CN"/>
        </w:rPr>
        <w:t>中选</w:t>
      </w:r>
      <w:r>
        <w:rPr>
          <w:rFonts w:hint="eastAsia" w:ascii="仿宋_GB2312" w:hAnsi="仿宋_GB2312" w:eastAsia="仿宋_GB2312" w:cs="仿宋_GB2312"/>
          <w:highlight w:val="none"/>
        </w:rPr>
        <w:t>后通过多次现场踏勘、交流访谈等方式，数据收集以及数据分析研究等方法，对阳东渔港经济区进行全面调查研究，对规划方案进行全面编制，</w:t>
      </w:r>
      <w:r>
        <w:rPr>
          <w:rFonts w:hint="eastAsia" w:ascii="仿宋_GB2312" w:hAnsi="仿宋_GB2312" w:eastAsia="仿宋_GB2312" w:cs="仿宋_GB2312"/>
          <w:highlight w:val="none"/>
          <w:lang w:val="en-US" w:eastAsia="zh-CN"/>
        </w:rPr>
        <w:t>现已</w:t>
      </w:r>
      <w:r>
        <w:rPr>
          <w:rFonts w:hint="eastAsia" w:ascii="仿宋_GB2312" w:hAnsi="仿宋_GB2312" w:eastAsia="仿宋_GB2312" w:cs="仿宋_GB2312"/>
          <w:highlight w:val="none"/>
        </w:rPr>
        <w:t>形成《阳东国家级渔港经济区建设规划（征求意见稿）》。</w:t>
      </w:r>
    </w:p>
    <w:p w14:paraId="1225C6CA">
      <w:pPr>
        <w:pStyle w:val="2"/>
        <w:spacing w:before="145"/>
        <w:jc w:val="left"/>
        <w:rPr>
          <w:highlight w:val="none"/>
        </w:rPr>
      </w:pPr>
      <w:r>
        <w:rPr>
          <w:rFonts w:hint="eastAsia"/>
          <w:highlight w:val="none"/>
        </w:rPr>
        <w:t>四、编制成果</w:t>
      </w:r>
      <w:bookmarkStart w:id="0" w:name="_GoBack"/>
      <w:bookmarkEnd w:id="0"/>
    </w:p>
    <w:p w14:paraId="0B7FB93A">
      <w:pPr>
        <w:pStyle w:val="3"/>
        <w:spacing w:before="204" w:after="204"/>
        <w:ind w:firstLine="600"/>
        <w:rPr>
          <w:rFonts w:hint="eastAsia" w:ascii="仿宋_GB2312" w:hAnsi="仿宋_GB2312" w:eastAsia="仿宋_GB2312" w:cs="仿宋_GB2312"/>
          <w:b w:val="0"/>
          <w:bCs w:val="0"/>
          <w:highlight w:val="none"/>
        </w:rPr>
      </w:pPr>
      <w:r>
        <w:rPr>
          <w:rFonts w:hint="eastAsia" w:ascii="仿宋_GB2312" w:hAnsi="仿宋_GB2312" w:eastAsia="仿宋_GB2312" w:cs="仿宋_GB2312"/>
          <w:b w:val="0"/>
          <w:bCs w:val="0"/>
          <w:highlight w:val="none"/>
        </w:rPr>
        <w:t>《规划》成果构成包含：</w:t>
      </w:r>
    </w:p>
    <w:p w14:paraId="68B0F476">
      <w:pPr>
        <w:ind w:firstLine="600"/>
        <w:rPr>
          <w:rFonts w:hint="eastAsia" w:ascii="仿宋_GB2312" w:hAnsi="仿宋_GB2312" w:eastAsia="仿宋_GB2312" w:cs="仿宋_GB2312"/>
          <w:highlight w:val="none"/>
        </w:rPr>
      </w:pPr>
      <w:r>
        <w:rPr>
          <w:rFonts w:hint="eastAsia" w:ascii="仿宋_GB2312" w:hAnsi="仿宋_GB2312" w:eastAsia="仿宋_GB2312" w:cs="仿宋_GB2312"/>
          <w:highlight w:val="none"/>
        </w:rPr>
        <w:t>1、《阳东国家级渔港经济区建设规划》——规划文本和图册；</w:t>
      </w:r>
    </w:p>
    <w:p w14:paraId="4DC1BACC">
      <w:pPr>
        <w:ind w:firstLine="600"/>
        <w:rPr>
          <w:rFonts w:hint="eastAsia" w:ascii="仿宋_GB2312" w:hAnsi="仿宋_GB2312" w:eastAsia="仿宋_GB2312" w:cs="仿宋_GB2312"/>
          <w:highlight w:val="none"/>
        </w:rPr>
      </w:pPr>
      <w:r>
        <w:rPr>
          <w:rFonts w:hint="eastAsia" w:ascii="仿宋_GB2312" w:hAnsi="仿宋_GB2312" w:eastAsia="仿宋_GB2312" w:cs="仿宋_GB2312"/>
          <w:highlight w:val="none"/>
        </w:rPr>
        <w:t>2、《阳东国家级渔港经济区建设规划》——编制说明书。</w:t>
      </w:r>
    </w:p>
    <w:p w14:paraId="64A9AD3B">
      <w:pPr>
        <w:pStyle w:val="2"/>
        <w:spacing w:before="145"/>
        <w:jc w:val="left"/>
        <w:rPr>
          <w:highlight w:val="none"/>
        </w:rPr>
      </w:pPr>
      <w:r>
        <w:rPr>
          <w:rFonts w:hint="eastAsia"/>
          <w:highlight w:val="none"/>
        </w:rPr>
        <w:t>五、主要规划内容</w:t>
      </w:r>
    </w:p>
    <w:p w14:paraId="491D87FC">
      <w:pPr>
        <w:pStyle w:val="3"/>
        <w:spacing w:before="204" w:after="204"/>
        <w:ind w:firstLine="602"/>
        <w:rPr>
          <w:highlight w:val="none"/>
        </w:rPr>
      </w:pPr>
      <w:r>
        <w:rPr>
          <w:rFonts w:hint="eastAsia"/>
          <w:highlight w:val="none"/>
        </w:rPr>
        <w:t>（一）规划范围及期限</w:t>
      </w:r>
    </w:p>
    <w:p w14:paraId="1A9D4A73">
      <w:pPr>
        <w:ind w:firstLine="600"/>
        <w:rPr>
          <w:rFonts w:hint="eastAsia" w:ascii="仿宋_GB2312" w:hAnsi="仿宋_GB2312" w:eastAsia="仿宋_GB2312" w:cs="仿宋_GB2312"/>
          <w:highlight w:val="none"/>
        </w:rPr>
      </w:pPr>
      <w:r>
        <w:rPr>
          <w:rFonts w:hint="eastAsia" w:ascii="仿宋_GB2312" w:hAnsi="仿宋_GB2312" w:eastAsia="仿宋_GB2312" w:cs="仿宋_GB2312"/>
          <w:highlight w:val="none"/>
        </w:rPr>
        <w:t>区域核心规划范围包括东平渔港、华洞避风塘、北津避风塘及核心产业空间载体片区，共计约722.8公顷。规划期限为2024年至2030年，其中近期为2024-2027年；远期为2028-2030年。</w:t>
      </w:r>
    </w:p>
    <w:p w14:paraId="3FC4102A">
      <w:pPr>
        <w:pStyle w:val="3"/>
        <w:spacing w:before="204" w:after="204"/>
        <w:ind w:firstLine="602"/>
        <w:rPr>
          <w:highlight w:val="none"/>
        </w:rPr>
      </w:pPr>
      <w:r>
        <w:rPr>
          <w:rFonts w:hint="eastAsia"/>
          <w:highlight w:val="none"/>
        </w:rPr>
        <w:t>（二）规划发展目标</w:t>
      </w:r>
    </w:p>
    <w:p w14:paraId="5557299F">
      <w:pPr>
        <w:ind w:firstLine="600"/>
        <w:rPr>
          <w:highlight w:val="none"/>
        </w:rPr>
      </w:pPr>
      <w:r>
        <w:rPr>
          <w:rFonts w:hint="eastAsia"/>
          <w:highlight w:val="none"/>
        </w:rPr>
        <w:t>建设国家级渔港经济区。着力打造成为“国家级渔业绿色发展先行区”“粤西数字渔贸枢纽中心”，全面推动建设成为以绿色发展和数字化为特色的国家级渔港经济区。</w:t>
      </w:r>
    </w:p>
    <w:p w14:paraId="1870DE18">
      <w:pPr>
        <w:pStyle w:val="3"/>
        <w:spacing w:before="204" w:after="204"/>
        <w:ind w:firstLine="602"/>
        <w:rPr>
          <w:highlight w:val="none"/>
        </w:rPr>
      </w:pPr>
      <w:r>
        <w:rPr>
          <w:rFonts w:hint="eastAsia"/>
          <w:highlight w:val="none"/>
        </w:rPr>
        <w:t>（三）规划主要内容</w:t>
      </w:r>
    </w:p>
    <w:p w14:paraId="33E19146">
      <w:pPr>
        <w:ind w:firstLine="600"/>
        <w:rPr>
          <w:rFonts w:hint="eastAsia" w:ascii="仿宋_GB2312" w:hAnsi="仿宋_GB2312" w:eastAsia="仿宋_GB2312" w:cs="仿宋_GB2312"/>
          <w:highlight w:val="none"/>
        </w:rPr>
      </w:pPr>
      <w:r>
        <w:rPr>
          <w:rFonts w:hint="eastAsia" w:ascii="仿宋_GB2312" w:hAnsi="仿宋_GB2312" w:eastAsia="仿宋_GB2312" w:cs="仿宋_GB2312"/>
          <w:highlight w:val="none"/>
        </w:rPr>
        <w:t>《规划》共分为十一章五十八节：</w:t>
      </w:r>
    </w:p>
    <w:p w14:paraId="55D9FDE4">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第一章 总则。</w:t>
      </w:r>
      <w:r>
        <w:rPr>
          <w:rFonts w:hint="eastAsia" w:ascii="仿宋_GB2312" w:hAnsi="仿宋_GB2312" w:eastAsia="仿宋_GB2312" w:cs="仿宋_GB2312"/>
          <w:highlight w:val="none"/>
        </w:rPr>
        <w:t>总体介绍背景意义、规划依据、任务目标、规划范围、建设期限、规划主要结论等内容。</w:t>
      </w:r>
    </w:p>
    <w:p w14:paraId="0C2F0814">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第二章 现状分析。</w:t>
      </w:r>
      <w:r>
        <w:rPr>
          <w:rFonts w:hint="eastAsia" w:ascii="仿宋_GB2312" w:hAnsi="仿宋_GB2312" w:eastAsia="仿宋_GB2312" w:cs="仿宋_GB2312"/>
          <w:highlight w:val="none"/>
        </w:rPr>
        <w:t>深入分析阳东渔港经济区的区位条件、资源条件、社会经济、渔业发展、渔港概况，梳理上位规划、规范指引，结合当前市场发展需求，运用SWOT优劣势分析，谋求发展新模式、新思路。</w:t>
      </w:r>
    </w:p>
    <w:p w14:paraId="28A80530">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第三章 总体思路。</w:t>
      </w:r>
      <w:r>
        <w:rPr>
          <w:rFonts w:hint="eastAsia" w:ascii="仿宋_GB2312" w:hAnsi="仿宋_GB2312" w:eastAsia="仿宋_GB2312" w:cs="仿宋_GB2312"/>
          <w:highlight w:val="none"/>
        </w:rPr>
        <w:t>阐明阳东渔港经济区发展的指导思想、规划原则、发展思路，明确规划区的目标定位为“国家渔港经济区——粤西数字渔贸枢纽中心”，并确立建设目标，提出发展策略。</w:t>
      </w:r>
    </w:p>
    <w:p w14:paraId="4ACAF0F0">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第四章 产业发展规划。</w:t>
      </w:r>
      <w:r>
        <w:rPr>
          <w:rFonts w:hint="eastAsia" w:ascii="仿宋_GB2312" w:hAnsi="仿宋_GB2312" w:eastAsia="仿宋_GB2312" w:cs="仿宋_GB2312"/>
          <w:highlight w:val="none"/>
        </w:rPr>
        <w:t>立足于产业发展情况的研判，提出“构建两链互补促进，聚焦六特色产业板块”的产业发展思路，对规划区的产业结构进行优化，并推进构建渔业新业态、构筑智慧渔港、建设绿色渔港。</w:t>
      </w:r>
    </w:p>
    <w:p w14:paraId="27B1C096">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第五章 空间布局。</w:t>
      </w:r>
      <w:r>
        <w:rPr>
          <w:rFonts w:hint="eastAsia" w:ascii="仿宋_GB2312" w:hAnsi="仿宋_GB2312" w:eastAsia="仿宋_GB2312" w:cs="仿宋_GB2312"/>
          <w:highlight w:val="none"/>
        </w:rPr>
        <w:t>确立布局思路、布局原则，构建“一核聚力·一轴串联·两廊联动·三区发展·多点融合·一网统领”的总体发展布局。同时提出分区规划布局指引，明确各渔港片区重点建设项目。</w:t>
      </w:r>
    </w:p>
    <w:p w14:paraId="139BC48B">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第六章 建设任务。</w:t>
      </w:r>
      <w:r>
        <w:rPr>
          <w:rFonts w:hint="eastAsia" w:ascii="仿宋_GB2312" w:hAnsi="仿宋_GB2312" w:eastAsia="仿宋_GB2312" w:cs="仿宋_GB2312"/>
          <w:highlight w:val="none"/>
        </w:rPr>
        <w:t>结合区位条件、资源条件、社会经济、渔业发展等现状及产业发展规划，明确智慧渔港、平安渔港、绿色渔港、产业渔港、人文渔港等方面的建设目标及建设任务。</w:t>
      </w:r>
    </w:p>
    <w:p w14:paraId="1B5282C6">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第七章 交通运输系统与夜景系统。</w:t>
      </w:r>
      <w:r>
        <w:rPr>
          <w:rFonts w:hint="eastAsia" w:ascii="仿宋_GB2312" w:hAnsi="仿宋_GB2312" w:eastAsia="仿宋_GB2312" w:cs="仿宋_GB2312"/>
          <w:highlight w:val="none"/>
        </w:rPr>
        <w:t>结合规划区综合交通系统现状，提出陆域交通、水域交通、夜景亮化系统规划设计原则，并对核心区域片区的系统布局进行规划。</w:t>
      </w:r>
    </w:p>
    <w:p w14:paraId="3DA75DBD">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第八章 环境保护规划。</w:t>
      </w:r>
      <w:r>
        <w:rPr>
          <w:rFonts w:hint="eastAsia" w:ascii="仿宋_GB2312" w:hAnsi="仿宋_GB2312" w:eastAsia="仿宋_GB2312" w:cs="仿宋_GB2312"/>
          <w:highlight w:val="none"/>
        </w:rPr>
        <w:t>阐述环境质量现状、环境保护规划相关依据和标准、规划建设形成的主要影响，对应提出减缓措施和环境监测要求。</w:t>
      </w:r>
    </w:p>
    <w:p w14:paraId="378C518A">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第九章 投资估算及资金筹措。</w:t>
      </w:r>
      <w:r>
        <w:rPr>
          <w:rFonts w:hint="eastAsia" w:ascii="仿宋_GB2312" w:hAnsi="仿宋_GB2312" w:eastAsia="仿宋_GB2312" w:cs="仿宋_GB2312"/>
          <w:highlight w:val="none"/>
        </w:rPr>
        <w:t>规划从投资项目概况、投资项目清单、近期重点项目、总体资金筹措等方面完善规划重点项目建设与资金筹措的内容。</w:t>
      </w:r>
    </w:p>
    <w:p w14:paraId="1036DF5D">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第十章 效益分析。</w:t>
      </w:r>
      <w:r>
        <w:rPr>
          <w:rFonts w:hint="eastAsia" w:ascii="仿宋_GB2312" w:hAnsi="仿宋_GB2312" w:eastAsia="仿宋_GB2312" w:cs="仿宋_GB2312"/>
          <w:highlight w:val="none"/>
        </w:rPr>
        <w:t>规划从社会效益、经济效益、生态效益三方面分别分析本规划实施所产生的效益。</w:t>
      </w:r>
    </w:p>
    <w:p w14:paraId="568783C2">
      <w:pPr>
        <w:ind w:firstLine="602"/>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第十一章 保障措施。</w:t>
      </w:r>
      <w:r>
        <w:rPr>
          <w:rFonts w:hint="eastAsia" w:ascii="仿宋_GB2312" w:hAnsi="仿宋_GB2312" w:eastAsia="仿宋_GB2312" w:cs="仿宋_GB2312"/>
          <w:highlight w:val="none"/>
        </w:rPr>
        <w:t>规划从加强组织领导、完善协调管理、健全制度建设、落实检查督导、推进宣传引导、提升营商环境等方面全面完善规划区整体发展的支持保障体系。</w:t>
      </w:r>
    </w:p>
    <w:p w14:paraId="119F0B82">
      <w:pPr>
        <w:ind w:firstLine="600"/>
        <w:rPr>
          <w:rFonts w:hint="eastAsia" w:ascii="仿宋_GB2312" w:hAnsi="仿宋_GB2312" w:eastAsia="仿宋_GB2312" w:cs="仿宋_GB2312"/>
          <w:highlight w:val="none"/>
        </w:rPr>
      </w:pPr>
      <w:r>
        <w:rPr>
          <w:rFonts w:hint="eastAsia" w:ascii="仿宋_GB2312" w:hAnsi="仿宋_GB2312" w:eastAsia="仿宋_GB2312" w:cs="仿宋_GB2312"/>
          <w:highlight w:val="none"/>
        </w:rPr>
        <w:t>《规划》的编制与实施，是贯彻落实国家渔港建设规划的重要举措，将有力促进海洋渔业持续健康发展；是提升阳东区渔业防灾减灾能力的迫切需要，将有力保障渔民和渔船生产安全；是优化阳东海洋经济东拓西联与海陆统筹布局的需要，将有力改善供需与补给；是实施乡村振兴战略重要举措，将有力推进蓝绿统筹、优化改善国土空间利用效率；是推动产业集聚提升区域经济发展水平的有效途径，将有力促进阳东区现代渔业体系建设，综合竞争力及社会综合效益得到进一步提高。</w:t>
      </w:r>
    </w:p>
    <w:sectPr>
      <w:footerReference r:id="rId5" w:type="default"/>
      <w:pgSz w:w="11906" w:h="16838"/>
      <w:pgMar w:top="1417" w:right="1587" w:bottom="1417" w:left="1587" w:header="851" w:footer="992" w:gutter="0"/>
      <w:cols w:space="425" w:num="1"/>
      <w:docGrid w:type="lines" w:linePitch="408"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00"/>
      </w:pPr>
      <w:r>
        <w:separator/>
      </w:r>
    </w:p>
  </w:endnote>
  <w:endnote w:type="continuationSeparator" w:id="1">
    <w:p>
      <w:pPr>
        <w:spacing w:line="240" w:lineRule="auto"/>
        <w:ind w:firstLine="6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1" w:fontKey="{EE711A8F-6D4E-4388-BFE8-8C4C52C39281}"/>
  </w:font>
  <w:font w:name="Verdana">
    <w:panose1 w:val="020B0604030504040204"/>
    <w:charset w:val="00"/>
    <w:family w:val="swiss"/>
    <w:pitch w:val="default"/>
    <w:sig w:usb0="A00006FF" w:usb1="4000205B" w:usb2="00000010" w:usb3="00000000" w:csb0="2000019F"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5D4A4">
    <w:pPr>
      <w:pStyle w:val="6"/>
      <w:ind w:firstLine="480"/>
      <w:jc w:val="center"/>
    </w:pPr>
    <w:r>
      <w:rPr>
        <w:rStyle w:val="11"/>
        <w:sz w:val="24"/>
        <w:szCs w:val="24"/>
      </w:rPr>
      <w:t>—</w:t>
    </w:r>
    <w:r>
      <w:rPr>
        <w:rStyle w:val="11"/>
        <w:sz w:val="24"/>
        <w:szCs w:val="24"/>
      </w:rPr>
      <w:fldChar w:fldCharType="begin"/>
    </w:r>
    <w:r>
      <w:rPr>
        <w:rStyle w:val="11"/>
        <w:sz w:val="24"/>
        <w:szCs w:val="24"/>
      </w:rPr>
      <w:instrText xml:space="preserve">PAGE  </w:instrText>
    </w:r>
    <w:r>
      <w:rPr>
        <w:rStyle w:val="11"/>
        <w:sz w:val="24"/>
        <w:szCs w:val="24"/>
      </w:rPr>
      <w:fldChar w:fldCharType="separate"/>
    </w:r>
    <w:r>
      <w:rPr>
        <w:rStyle w:val="11"/>
        <w:sz w:val="24"/>
        <w:szCs w:val="24"/>
      </w:rPr>
      <w:t>7</w:t>
    </w:r>
    <w:r>
      <w:rPr>
        <w:rStyle w:val="11"/>
        <w:sz w:val="24"/>
        <w:szCs w:val="24"/>
      </w:rPr>
      <w:fldChar w:fldCharType="end"/>
    </w:r>
    <w:r>
      <w:rPr>
        <w:rStyle w:val="11"/>
        <w:sz w:val="24"/>
        <w:szCs w:val="24"/>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ind w:firstLine="600"/>
      </w:pPr>
      <w:r>
        <w:separator/>
      </w:r>
    </w:p>
  </w:footnote>
  <w:footnote w:type="continuationSeparator" w:id="1">
    <w:p>
      <w:pPr>
        <w:spacing w:before="0" w:after="0" w:line="240" w:lineRule="auto"/>
        <w:ind w:firstLine="60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1"/>
  <w:embedTrueTypeFonts/>
  <w:saveSubsetFonts/>
  <w:bordersDoNotSurroundHeader w:val="1"/>
  <w:bordersDoNotSurroundFooter w:val="1"/>
  <w:documentProtection w:enforcement="0"/>
  <w:defaultTabStop w:val="420"/>
  <w:doNotHyphenateCaps/>
  <w:drawingGridHorizontalSpacing w:val="150"/>
  <w:drawingGridVerticalSpacing w:val="204"/>
  <w:displayHorizontalDrawingGridEvery w:val="2"/>
  <w:displayVerticalDrawingGridEvery w:val="2"/>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D92"/>
    <w:rsid w:val="00006B9D"/>
    <w:rsid w:val="000079DB"/>
    <w:rsid w:val="00026B3A"/>
    <w:rsid w:val="000320CE"/>
    <w:rsid w:val="000328F9"/>
    <w:rsid w:val="00034A54"/>
    <w:rsid w:val="00034EBC"/>
    <w:rsid w:val="00043E3E"/>
    <w:rsid w:val="00046985"/>
    <w:rsid w:val="00053300"/>
    <w:rsid w:val="00055F7B"/>
    <w:rsid w:val="00066FAD"/>
    <w:rsid w:val="00081F09"/>
    <w:rsid w:val="0008628A"/>
    <w:rsid w:val="00094837"/>
    <w:rsid w:val="00094EF7"/>
    <w:rsid w:val="000B1E0B"/>
    <w:rsid w:val="000B3FA0"/>
    <w:rsid w:val="000B5AD4"/>
    <w:rsid w:val="000C0C79"/>
    <w:rsid w:val="000E0C92"/>
    <w:rsid w:val="000F469A"/>
    <w:rsid w:val="001018DE"/>
    <w:rsid w:val="00105806"/>
    <w:rsid w:val="001201D4"/>
    <w:rsid w:val="00121E20"/>
    <w:rsid w:val="0012203C"/>
    <w:rsid w:val="00135923"/>
    <w:rsid w:val="0014261C"/>
    <w:rsid w:val="00146B02"/>
    <w:rsid w:val="0014701C"/>
    <w:rsid w:val="00155064"/>
    <w:rsid w:val="0016736F"/>
    <w:rsid w:val="001847D4"/>
    <w:rsid w:val="00184FB2"/>
    <w:rsid w:val="0018713D"/>
    <w:rsid w:val="00196B7B"/>
    <w:rsid w:val="00197E3B"/>
    <w:rsid w:val="001A2EDA"/>
    <w:rsid w:val="001B14EB"/>
    <w:rsid w:val="001B6846"/>
    <w:rsid w:val="001C3C8B"/>
    <w:rsid w:val="001C4CCC"/>
    <w:rsid w:val="001E5B3B"/>
    <w:rsid w:val="001F6FA9"/>
    <w:rsid w:val="0020197C"/>
    <w:rsid w:val="0021668D"/>
    <w:rsid w:val="00216D0D"/>
    <w:rsid w:val="00220A5E"/>
    <w:rsid w:val="00223053"/>
    <w:rsid w:val="002252CE"/>
    <w:rsid w:val="00246CCF"/>
    <w:rsid w:val="00247B03"/>
    <w:rsid w:val="00264B7C"/>
    <w:rsid w:val="0028302E"/>
    <w:rsid w:val="00284487"/>
    <w:rsid w:val="002853BF"/>
    <w:rsid w:val="002917AC"/>
    <w:rsid w:val="00292179"/>
    <w:rsid w:val="002938DC"/>
    <w:rsid w:val="002A06A6"/>
    <w:rsid w:val="002A5279"/>
    <w:rsid w:val="002A56AD"/>
    <w:rsid w:val="002B3A02"/>
    <w:rsid w:val="002B553D"/>
    <w:rsid w:val="002B7541"/>
    <w:rsid w:val="002C3BBA"/>
    <w:rsid w:val="002D04B5"/>
    <w:rsid w:val="002E0A32"/>
    <w:rsid w:val="002E65B0"/>
    <w:rsid w:val="00320CFC"/>
    <w:rsid w:val="00326606"/>
    <w:rsid w:val="00336320"/>
    <w:rsid w:val="00337701"/>
    <w:rsid w:val="00337E62"/>
    <w:rsid w:val="00337F45"/>
    <w:rsid w:val="00340C83"/>
    <w:rsid w:val="00350645"/>
    <w:rsid w:val="00361201"/>
    <w:rsid w:val="003767FF"/>
    <w:rsid w:val="00383828"/>
    <w:rsid w:val="00387495"/>
    <w:rsid w:val="003953E8"/>
    <w:rsid w:val="00396458"/>
    <w:rsid w:val="003A2AD5"/>
    <w:rsid w:val="003A4E7E"/>
    <w:rsid w:val="003B4C83"/>
    <w:rsid w:val="003B7CB3"/>
    <w:rsid w:val="003C287B"/>
    <w:rsid w:val="003C6C2B"/>
    <w:rsid w:val="003D1CCC"/>
    <w:rsid w:val="003E4C8F"/>
    <w:rsid w:val="003F0371"/>
    <w:rsid w:val="00403C35"/>
    <w:rsid w:val="00405547"/>
    <w:rsid w:val="00410374"/>
    <w:rsid w:val="00412081"/>
    <w:rsid w:val="00414E3C"/>
    <w:rsid w:val="00415293"/>
    <w:rsid w:val="004225DD"/>
    <w:rsid w:val="00422750"/>
    <w:rsid w:val="00423E8F"/>
    <w:rsid w:val="00427457"/>
    <w:rsid w:val="00431CED"/>
    <w:rsid w:val="00431DAF"/>
    <w:rsid w:val="004427C7"/>
    <w:rsid w:val="00452DFD"/>
    <w:rsid w:val="00461C80"/>
    <w:rsid w:val="004640EB"/>
    <w:rsid w:val="004711C5"/>
    <w:rsid w:val="00491377"/>
    <w:rsid w:val="004915B7"/>
    <w:rsid w:val="004A0C33"/>
    <w:rsid w:val="004A7D92"/>
    <w:rsid w:val="004B17A7"/>
    <w:rsid w:val="004C0D0A"/>
    <w:rsid w:val="004C5B88"/>
    <w:rsid w:val="004E29F0"/>
    <w:rsid w:val="004F5983"/>
    <w:rsid w:val="00502842"/>
    <w:rsid w:val="0050535D"/>
    <w:rsid w:val="00510F7E"/>
    <w:rsid w:val="00521311"/>
    <w:rsid w:val="0052488B"/>
    <w:rsid w:val="005318E8"/>
    <w:rsid w:val="00532FDC"/>
    <w:rsid w:val="00542A45"/>
    <w:rsid w:val="00545B3A"/>
    <w:rsid w:val="00546F5C"/>
    <w:rsid w:val="0055176A"/>
    <w:rsid w:val="005539DE"/>
    <w:rsid w:val="0057080F"/>
    <w:rsid w:val="00571764"/>
    <w:rsid w:val="00574A10"/>
    <w:rsid w:val="00586A00"/>
    <w:rsid w:val="005A0D3E"/>
    <w:rsid w:val="005A0D6F"/>
    <w:rsid w:val="005B2FD5"/>
    <w:rsid w:val="005B5BD8"/>
    <w:rsid w:val="005B6796"/>
    <w:rsid w:val="005C1488"/>
    <w:rsid w:val="005D14E2"/>
    <w:rsid w:val="005E4F8F"/>
    <w:rsid w:val="005F7286"/>
    <w:rsid w:val="005F7709"/>
    <w:rsid w:val="00600724"/>
    <w:rsid w:val="00636906"/>
    <w:rsid w:val="00641720"/>
    <w:rsid w:val="006520A8"/>
    <w:rsid w:val="00665AA6"/>
    <w:rsid w:val="00666404"/>
    <w:rsid w:val="00667C45"/>
    <w:rsid w:val="00680D21"/>
    <w:rsid w:val="00696F94"/>
    <w:rsid w:val="006A03E4"/>
    <w:rsid w:val="006A4F20"/>
    <w:rsid w:val="006A5DDA"/>
    <w:rsid w:val="006B4C97"/>
    <w:rsid w:val="006C4C1A"/>
    <w:rsid w:val="006C5D4F"/>
    <w:rsid w:val="006E4AA6"/>
    <w:rsid w:val="006F1046"/>
    <w:rsid w:val="006F1D47"/>
    <w:rsid w:val="006F745B"/>
    <w:rsid w:val="00704D65"/>
    <w:rsid w:val="00705CEC"/>
    <w:rsid w:val="0070649B"/>
    <w:rsid w:val="00706EF6"/>
    <w:rsid w:val="00721E3F"/>
    <w:rsid w:val="00722FEC"/>
    <w:rsid w:val="0073333A"/>
    <w:rsid w:val="007622D0"/>
    <w:rsid w:val="007732D1"/>
    <w:rsid w:val="00780698"/>
    <w:rsid w:val="0079634C"/>
    <w:rsid w:val="007970CA"/>
    <w:rsid w:val="007A76E8"/>
    <w:rsid w:val="007A778E"/>
    <w:rsid w:val="007C4D46"/>
    <w:rsid w:val="007D0E48"/>
    <w:rsid w:val="007D7802"/>
    <w:rsid w:val="007E0F4C"/>
    <w:rsid w:val="0081421E"/>
    <w:rsid w:val="00841C87"/>
    <w:rsid w:val="008465C2"/>
    <w:rsid w:val="00865FB2"/>
    <w:rsid w:val="00867D6F"/>
    <w:rsid w:val="00874729"/>
    <w:rsid w:val="00884D81"/>
    <w:rsid w:val="00891FE4"/>
    <w:rsid w:val="00893163"/>
    <w:rsid w:val="008A3F60"/>
    <w:rsid w:val="008B237C"/>
    <w:rsid w:val="008B6060"/>
    <w:rsid w:val="008C45EF"/>
    <w:rsid w:val="00902BBA"/>
    <w:rsid w:val="00915501"/>
    <w:rsid w:val="00923883"/>
    <w:rsid w:val="00927872"/>
    <w:rsid w:val="00934E86"/>
    <w:rsid w:val="00951BB3"/>
    <w:rsid w:val="00955B81"/>
    <w:rsid w:val="00957B4F"/>
    <w:rsid w:val="00961F32"/>
    <w:rsid w:val="00964A1F"/>
    <w:rsid w:val="00964AAB"/>
    <w:rsid w:val="00981A1C"/>
    <w:rsid w:val="00986A02"/>
    <w:rsid w:val="00992833"/>
    <w:rsid w:val="009930B6"/>
    <w:rsid w:val="00996D3C"/>
    <w:rsid w:val="00996FED"/>
    <w:rsid w:val="009A2FD8"/>
    <w:rsid w:val="009A3460"/>
    <w:rsid w:val="009A3785"/>
    <w:rsid w:val="009A3D64"/>
    <w:rsid w:val="009A6072"/>
    <w:rsid w:val="009B5ADF"/>
    <w:rsid w:val="009B5C48"/>
    <w:rsid w:val="009E0EA0"/>
    <w:rsid w:val="009E17F8"/>
    <w:rsid w:val="009F0BAE"/>
    <w:rsid w:val="009F202A"/>
    <w:rsid w:val="009F23F5"/>
    <w:rsid w:val="00A00F0B"/>
    <w:rsid w:val="00A01BA5"/>
    <w:rsid w:val="00A045E0"/>
    <w:rsid w:val="00A0492E"/>
    <w:rsid w:val="00A124B5"/>
    <w:rsid w:val="00A22264"/>
    <w:rsid w:val="00A43139"/>
    <w:rsid w:val="00A504A1"/>
    <w:rsid w:val="00A51BCF"/>
    <w:rsid w:val="00A610AA"/>
    <w:rsid w:val="00A6726F"/>
    <w:rsid w:val="00A81084"/>
    <w:rsid w:val="00A860FD"/>
    <w:rsid w:val="00A90C66"/>
    <w:rsid w:val="00A92D05"/>
    <w:rsid w:val="00A96279"/>
    <w:rsid w:val="00A979DD"/>
    <w:rsid w:val="00AA1D08"/>
    <w:rsid w:val="00AA2DA9"/>
    <w:rsid w:val="00AA60D7"/>
    <w:rsid w:val="00AC17D0"/>
    <w:rsid w:val="00AC2978"/>
    <w:rsid w:val="00AC7441"/>
    <w:rsid w:val="00AD6E45"/>
    <w:rsid w:val="00AE6A1F"/>
    <w:rsid w:val="00AF7BF6"/>
    <w:rsid w:val="00B021A0"/>
    <w:rsid w:val="00B0268A"/>
    <w:rsid w:val="00B04699"/>
    <w:rsid w:val="00B04E32"/>
    <w:rsid w:val="00B067C6"/>
    <w:rsid w:val="00B14DD5"/>
    <w:rsid w:val="00B2352D"/>
    <w:rsid w:val="00B36AA0"/>
    <w:rsid w:val="00B37FD3"/>
    <w:rsid w:val="00B40D75"/>
    <w:rsid w:val="00B52F36"/>
    <w:rsid w:val="00B541EE"/>
    <w:rsid w:val="00B56990"/>
    <w:rsid w:val="00B572A9"/>
    <w:rsid w:val="00B7054D"/>
    <w:rsid w:val="00B71412"/>
    <w:rsid w:val="00B75F13"/>
    <w:rsid w:val="00B81311"/>
    <w:rsid w:val="00B83709"/>
    <w:rsid w:val="00B8524F"/>
    <w:rsid w:val="00B85705"/>
    <w:rsid w:val="00B94EEF"/>
    <w:rsid w:val="00BA2DC1"/>
    <w:rsid w:val="00BA57A3"/>
    <w:rsid w:val="00BA6471"/>
    <w:rsid w:val="00BB1E7D"/>
    <w:rsid w:val="00BB42BB"/>
    <w:rsid w:val="00BB53A3"/>
    <w:rsid w:val="00BC000D"/>
    <w:rsid w:val="00BD6EAA"/>
    <w:rsid w:val="00BE0720"/>
    <w:rsid w:val="00BE2809"/>
    <w:rsid w:val="00BE5719"/>
    <w:rsid w:val="00BF2556"/>
    <w:rsid w:val="00BF3909"/>
    <w:rsid w:val="00C004FD"/>
    <w:rsid w:val="00C017A8"/>
    <w:rsid w:val="00C32B12"/>
    <w:rsid w:val="00C3420E"/>
    <w:rsid w:val="00C45608"/>
    <w:rsid w:val="00C45CB5"/>
    <w:rsid w:val="00C46505"/>
    <w:rsid w:val="00C80879"/>
    <w:rsid w:val="00C977A7"/>
    <w:rsid w:val="00CA02A2"/>
    <w:rsid w:val="00CA0DFD"/>
    <w:rsid w:val="00CA236A"/>
    <w:rsid w:val="00CA249B"/>
    <w:rsid w:val="00CA6573"/>
    <w:rsid w:val="00CA7545"/>
    <w:rsid w:val="00CC30CB"/>
    <w:rsid w:val="00CD1DB2"/>
    <w:rsid w:val="00CD4F0E"/>
    <w:rsid w:val="00CE1D51"/>
    <w:rsid w:val="00CE5400"/>
    <w:rsid w:val="00CF2049"/>
    <w:rsid w:val="00D072DC"/>
    <w:rsid w:val="00D07B03"/>
    <w:rsid w:val="00D10589"/>
    <w:rsid w:val="00D134B8"/>
    <w:rsid w:val="00D15CE1"/>
    <w:rsid w:val="00D574F9"/>
    <w:rsid w:val="00D602CE"/>
    <w:rsid w:val="00D61E58"/>
    <w:rsid w:val="00D7413C"/>
    <w:rsid w:val="00D741E5"/>
    <w:rsid w:val="00D74430"/>
    <w:rsid w:val="00D74FA4"/>
    <w:rsid w:val="00D825C3"/>
    <w:rsid w:val="00D84A42"/>
    <w:rsid w:val="00D86230"/>
    <w:rsid w:val="00D86286"/>
    <w:rsid w:val="00D94B3A"/>
    <w:rsid w:val="00DA4F5B"/>
    <w:rsid w:val="00DB5DCB"/>
    <w:rsid w:val="00DC7243"/>
    <w:rsid w:val="00DC77ED"/>
    <w:rsid w:val="00DD2B32"/>
    <w:rsid w:val="00DF0F39"/>
    <w:rsid w:val="00DF2E78"/>
    <w:rsid w:val="00E03F4E"/>
    <w:rsid w:val="00E224F3"/>
    <w:rsid w:val="00E24288"/>
    <w:rsid w:val="00E245F9"/>
    <w:rsid w:val="00E318D3"/>
    <w:rsid w:val="00E37F16"/>
    <w:rsid w:val="00E44282"/>
    <w:rsid w:val="00E45402"/>
    <w:rsid w:val="00E5463F"/>
    <w:rsid w:val="00E549D9"/>
    <w:rsid w:val="00E56743"/>
    <w:rsid w:val="00E702E7"/>
    <w:rsid w:val="00E71B7F"/>
    <w:rsid w:val="00E73E45"/>
    <w:rsid w:val="00E825CC"/>
    <w:rsid w:val="00E83561"/>
    <w:rsid w:val="00E858B3"/>
    <w:rsid w:val="00E9295A"/>
    <w:rsid w:val="00E938C6"/>
    <w:rsid w:val="00E93C5D"/>
    <w:rsid w:val="00E94413"/>
    <w:rsid w:val="00E9578B"/>
    <w:rsid w:val="00E97034"/>
    <w:rsid w:val="00E97CB9"/>
    <w:rsid w:val="00E97EE8"/>
    <w:rsid w:val="00EA3E06"/>
    <w:rsid w:val="00EB1198"/>
    <w:rsid w:val="00EB6DCC"/>
    <w:rsid w:val="00EC5C9E"/>
    <w:rsid w:val="00ED63CA"/>
    <w:rsid w:val="00EF00D9"/>
    <w:rsid w:val="00F05359"/>
    <w:rsid w:val="00F073B6"/>
    <w:rsid w:val="00F22B8E"/>
    <w:rsid w:val="00F36C1F"/>
    <w:rsid w:val="00F53A64"/>
    <w:rsid w:val="00F561FB"/>
    <w:rsid w:val="00F7148E"/>
    <w:rsid w:val="00F85372"/>
    <w:rsid w:val="00F96C76"/>
    <w:rsid w:val="00FA02CF"/>
    <w:rsid w:val="00FA278A"/>
    <w:rsid w:val="00FA2C60"/>
    <w:rsid w:val="00FA50AE"/>
    <w:rsid w:val="00FB1064"/>
    <w:rsid w:val="00FB5E50"/>
    <w:rsid w:val="00FB65B8"/>
    <w:rsid w:val="00FC1317"/>
    <w:rsid w:val="00FC1F5E"/>
    <w:rsid w:val="00FC264F"/>
    <w:rsid w:val="00FD1417"/>
    <w:rsid w:val="00FD2129"/>
    <w:rsid w:val="00FD7078"/>
    <w:rsid w:val="00FE3C9B"/>
    <w:rsid w:val="00FE763E"/>
    <w:rsid w:val="00FE7842"/>
    <w:rsid w:val="03CE6E4F"/>
    <w:rsid w:val="05A131E3"/>
    <w:rsid w:val="07277FC9"/>
    <w:rsid w:val="0CC524D0"/>
    <w:rsid w:val="0DB31E2A"/>
    <w:rsid w:val="0E4761C0"/>
    <w:rsid w:val="10FE14EA"/>
    <w:rsid w:val="12730595"/>
    <w:rsid w:val="13AB7850"/>
    <w:rsid w:val="159B6280"/>
    <w:rsid w:val="17884761"/>
    <w:rsid w:val="1BBB6955"/>
    <w:rsid w:val="1D281CF6"/>
    <w:rsid w:val="1F666BD8"/>
    <w:rsid w:val="200770BD"/>
    <w:rsid w:val="204646BE"/>
    <w:rsid w:val="205A4321"/>
    <w:rsid w:val="21625938"/>
    <w:rsid w:val="22143750"/>
    <w:rsid w:val="261C0035"/>
    <w:rsid w:val="29A3321C"/>
    <w:rsid w:val="29EA5673"/>
    <w:rsid w:val="2A810826"/>
    <w:rsid w:val="2BD3716A"/>
    <w:rsid w:val="2C0E4299"/>
    <w:rsid w:val="2F805A94"/>
    <w:rsid w:val="32AA4068"/>
    <w:rsid w:val="330F4F69"/>
    <w:rsid w:val="34AB2726"/>
    <w:rsid w:val="39932516"/>
    <w:rsid w:val="3B750477"/>
    <w:rsid w:val="3C9335BE"/>
    <w:rsid w:val="3EE41356"/>
    <w:rsid w:val="42D04785"/>
    <w:rsid w:val="44BF6C07"/>
    <w:rsid w:val="4A6B17E3"/>
    <w:rsid w:val="4A90048D"/>
    <w:rsid w:val="4B3828FE"/>
    <w:rsid w:val="4BFE403A"/>
    <w:rsid w:val="4C545798"/>
    <w:rsid w:val="4E8918D0"/>
    <w:rsid w:val="5080602F"/>
    <w:rsid w:val="50D40E43"/>
    <w:rsid w:val="526A6918"/>
    <w:rsid w:val="52B72EA2"/>
    <w:rsid w:val="535B3A4F"/>
    <w:rsid w:val="53FD3172"/>
    <w:rsid w:val="566F4E48"/>
    <w:rsid w:val="57695F2C"/>
    <w:rsid w:val="58487760"/>
    <w:rsid w:val="58B6276E"/>
    <w:rsid w:val="5B170624"/>
    <w:rsid w:val="5C20692D"/>
    <w:rsid w:val="5C7E485A"/>
    <w:rsid w:val="5E0837E0"/>
    <w:rsid w:val="5F5D22E6"/>
    <w:rsid w:val="602D65BF"/>
    <w:rsid w:val="61323D32"/>
    <w:rsid w:val="63207C9A"/>
    <w:rsid w:val="645009E1"/>
    <w:rsid w:val="65C91E34"/>
    <w:rsid w:val="68147D12"/>
    <w:rsid w:val="682A63C3"/>
    <w:rsid w:val="6E986BAB"/>
    <w:rsid w:val="6EF5506B"/>
    <w:rsid w:val="6F501373"/>
    <w:rsid w:val="6F58351E"/>
    <w:rsid w:val="715F7D32"/>
    <w:rsid w:val="754C053D"/>
    <w:rsid w:val="79E1066B"/>
    <w:rsid w:val="79E576FD"/>
    <w:rsid w:val="7B4E19CC"/>
    <w:rsid w:val="7D650FE1"/>
    <w:rsid w:val="7D7206C2"/>
    <w:rsid w:val="7F1B0068"/>
    <w:rsid w:val="7F7915A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qFormat="1" w:unhideWhenUsed="0"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120" w:line="560" w:lineRule="exact"/>
      <w:ind w:firstLine="200" w:firstLineChars="200"/>
      <w:jc w:val="both"/>
    </w:pPr>
    <w:rPr>
      <w:rFonts w:ascii="Times New Roman" w:hAnsi="Times New Roman" w:eastAsia="仿宋_GB2312" w:cs="仿宋_GB2312"/>
      <w:color w:val="000000" w:themeColor="text1"/>
      <w:kern w:val="2"/>
      <w:sz w:val="30"/>
      <w:szCs w:val="30"/>
      <w:lang w:val="en-US" w:eastAsia="zh-CN" w:bidi="ar-SA"/>
      <w14:textFill>
        <w14:solidFill>
          <w14:schemeClr w14:val="tx1"/>
        </w14:solidFill>
      </w14:textFill>
    </w:rPr>
  </w:style>
  <w:style w:type="paragraph" w:styleId="2">
    <w:name w:val="heading 1"/>
    <w:basedOn w:val="1"/>
    <w:next w:val="1"/>
    <w:link w:val="13"/>
    <w:qFormat/>
    <w:locked/>
    <w:uiPriority w:val="0"/>
    <w:pPr>
      <w:ind w:firstLine="643"/>
      <w:jc w:val="center"/>
      <w:outlineLvl w:val="0"/>
    </w:pPr>
    <w:rPr>
      <w:rFonts w:asciiTheme="majorEastAsia" w:hAnsiTheme="majorEastAsia" w:eastAsiaTheme="majorEastAsia"/>
      <w:b/>
      <w:bCs/>
      <w:sz w:val="32"/>
      <w:szCs w:val="32"/>
    </w:rPr>
  </w:style>
  <w:style w:type="paragraph" w:styleId="3">
    <w:name w:val="heading 2"/>
    <w:basedOn w:val="1"/>
    <w:next w:val="1"/>
    <w:link w:val="14"/>
    <w:unhideWhenUsed/>
    <w:qFormat/>
    <w:locked/>
    <w:uiPriority w:val="0"/>
    <w:pPr>
      <w:spacing w:before="50" w:beforeLines="50" w:after="50" w:afterLines="50"/>
      <w:outlineLvl w:val="1"/>
    </w:pPr>
    <w:rPr>
      <w:b/>
      <w:bCs/>
    </w:rPr>
  </w:style>
  <w:style w:type="character" w:default="1" w:styleId="10">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4">
    <w:name w:val="Document Map"/>
    <w:basedOn w:val="1"/>
    <w:link w:val="18"/>
    <w:semiHidden/>
    <w:qFormat/>
    <w:uiPriority w:val="99"/>
    <w:rPr>
      <w:rFonts w:ascii="宋体" w:cs="宋体"/>
      <w:sz w:val="18"/>
      <w:szCs w:val="18"/>
    </w:rPr>
  </w:style>
  <w:style w:type="paragraph" w:styleId="5">
    <w:name w:val="Balloon Text"/>
    <w:basedOn w:val="1"/>
    <w:link w:val="19"/>
    <w:semiHidden/>
    <w:qFormat/>
    <w:uiPriority w:val="99"/>
    <w:rPr>
      <w:sz w:val="18"/>
      <w:szCs w:val="18"/>
    </w:rPr>
  </w:style>
  <w:style w:type="paragraph" w:styleId="6">
    <w:name w:val="footer"/>
    <w:basedOn w:val="1"/>
    <w:link w:val="15"/>
    <w:qFormat/>
    <w:uiPriority w:val="99"/>
    <w:pPr>
      <w:tabs>
        <w:tab w:val="center" w:pos="4153"/>
        <w:tab w:val="right" w:pos="8306"/>
      </w:tabs>
      <w:snapToGrid w:val="0"/>
      <w:jc w:val="left"/>
    </w:pPr>
    <w:rPr>
      <w:sz w:val="18"/>
      <w:szCs w:val="18"/>
    </w:rPr>
  </w:style>
  <w:style w:type="paragraph" w:styleId="7">
    <w:name w:val="header"/>
    <w:basedOn w:val="1"/>
    <w:link w:val="17"/>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semiHidden/>
    <w:unhideWhenUsed/>
    <w:uiPriority w:val="99"/>
    <w:pPr>
      <w:spacing w:before="0" w:beforeAutospacing="1" w:afterAutospacing="1"/>
      <w:jc w:val="left"/>
    </w:pPr>
    <w:rPr>
      <w:rFonts w:cs="Times New Roman"/>
      <w:kern w:val="0"/>
      <w:sz w:val="24"/>
    </w:rPr>
  </w:style>
  <w:style w:type="character" w:styleId="11">
    <w:name w:val="page number"/>
    <w:basedOn w:val="10"/>
    <w:qFormat/>
    <w:uiPriority w:val="99"/>
  </w:style>
  <w:style w:type="character" w:styleId="12">
    <w:name w:val="Emphasis"/>
    <w:basedOn w:val="10"/>
    <w:qFormat/>
    <w:locked/>
    <w:uiPriority w:val="0"/>
    <w:rPr>
      <w:i/>
    </w:rPr>
  </w:style>
  <w:style w:type="character" w:customStyle="1" w:styleId="13">
    <w:name w:val="标题 1 字符"/>
    <w:basedOn w:val="10"/>
    <w:link w:val="2"/>
    <w:uiPriority w:val="0"/>
    <w:rPr>
      <w:rFonts w:cs="仿宋_GB2312" w:asciiTheme="majorEastAsia" w:hAnsiTheme="majorEastAsia" w:eastAsiaTheme="majorEastAsia"/>
      <w:b/>
      <w:bCs/>
      <w:color w:val="000000" w:themeColor="text1"/>
      <w:kern w:val="2"/>
      <w:sz w:val="32"/>
      <w:szCs w:val="32"/>
      <w14:textFill>
        <w14:solidFill>
          <w14:schemeClr w14:val="tx1"/>
        </w14:solidFill>
      </w14:textFill>
    </w:rPr>
  </w:style>
  <w:style w:type="character" w:customStyle="1" w:styleId="14">
    <w:name w:val="标题 2 字符"/>
    <w:basedOn w:val="10"/>
    <w:link w:val="3"/>
    <w:uiPriority w:val="0"/>
    <w:rPr>
      <w:rFonts w:eastAsia="仿宋_GB2312" w:cs="仿宋_GB2312"/>
      <w:b/>
      <w:bCs/>
      <w:color w:val="000000" w:themeColor="text1"/>
      <w:kern w:val="2"/>
      <w:sz w:val="30"/>
      <w:szCs w:val="30"/>
      <w14:textFill>
        <w14:solidFill>
          <w14:schemeClr w14:val="tx1"/>
        </w14:solidFill>
      </w14:textFill>
    </w:rPr>
  </w:style>
  <w:style w:type="character" w:customStyle="1" w:styleId="15">
    <w:name w:val="页脚 字符"/>
    <w:basedOn w:val="10"/>
    <w:link w:val="6"/>
    <w:semiHidden/>
    <w:qFormat/>
    <w:uiPriority w:val="99"/>
    <w:rPr>
      <w:sz w:val="18"/>
      <w:szCs w:val="18"/>
    </w:rPr>
  </w:style>
  <w:style w:type="paragraph" w:customStyle="1" w:styleId="16">
    <w:name w:val="Char Char Char Char Char Char"/>
    <w:basedOn w:val="1"/>
    <w:qFormat/>
    <w:uiPriority w:val="99"/>
    <w:pPr>
      <w:widowControl/>
      <w:spacing w:after="160" w:line="240" w:lineRule="exact"/>
      <w:jc w:val="left"/>
    </w:pPr>
    <w:rPr>
      <w:rFonts w:ascii="Verdana" w:hAnsi="Verdana" w:cs="Verdana"/>
      <w:kern w:val="0"/>
      <w:sz w:val="20"/>
      <w:szCs w:val="20"/>
      <w:lang w:eastAsia="en-US"/>
    </w:rPr>
  </w:style>
  <w:style w:type="character" w:customStyle="1" w:styleId="17">
    <w:name w:val="页眉 字符"/>
    <w:basedOn w:val="10"/>
    <w:link w:val="7"/>
    <w:semiHidden/>
    <w:qFormat/>
    <w:uiPriority w:val="99"/>
    <w:rPr>
      <w:sz w:val="18"/>
      <w:szCs w:val="18"/>
    </w:rPr>
  </w:style>
  <w:style w:type="character" w:customStyle="1" w:styleId="18">
    <w:name w:val="文档结构图 字符"/>
    <w:basedOn w:val="10"/>
    <w:link w:val="4"/>
    <w:qFormat/>
    <w:locked/>
    <w:uiPriority w:val="99"/>
    <w:rPr>
      <w:rFonts w:ascii="宋体" w:cs="宋体"/>
      <w:kern w:val="2"/>
      <w:sz w:val="18"/>
      <w:szCs w:val="18"/>
    </w:rPr>
  </w:style>
  <w:style w:type="character" w:customStyle="1" w:styleId="19">
    <w:name w:val="批注框文本 字符"/>
    <w:basedOn w:val="10"/>
    <w:link w:val="5"/>
    <w:qFormat/>
    <w:locked/>
    <w:uiPriority w:val="99"/>
    <w:rPr>
      <w:kern w:val="2"/>
      <w:sz w:val="18"/>
      <w:szCs w:val="18"/>
    </w:rPr>
  </w:style>
  <w:style w:type="paragraph" w:customStyle="1" w:styleId="20">
    <w:name w:val="修订1"/>
    <w:hidden/>
    <w:semiHidden/>
    <w:qFormat/>
    <w:uiPriority w:val="99"/>
    <w:rPr>
      <w:rFonts w:ascii="Times New Roman" w:hAnsi="Times New Roman" w:eastAsia="宋体" w:cs="Times New Roman"/>
      <w:kern w:val="2"/>
      <w:sz w:val="21"/>
      <w:szCs w:val="21"/>
      <w:lang w:val="en-US" w:eastAsia="zh-CN" w:bidi="ar-SA"/>
    </w:rPr>
  </w:style>
  <w:style w:type="paragraph" w:styleId="21">
    <w:name w:val="List Paragraph"/>
    <w:basedOn w:val="1"/>
    <w:qFormat/>
    <w:uiPriority w:val="99"/>
    <w:pPr>
      <w:ind w:firstLine="42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5</TotalTime>
  <Pages>5</Pages>
  <Words>2708</Words>
  <Characters>2842</Characters>
  <DocSecurity>0</DocSecurity>
  <Lines>20</Lines>
  <Paragraphs>5</Paragraphs>
  <ScaleCrop>false</ScaleCrop>
  <LinksUpToDate>false</LinksUpToDate>
  <CharactersWithSpaces>2855</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2021-03-19T06:06:00Z</cp:lastPrinted>
  <dcterms:created xsi:type="dcterms:W3CDTF">2024-12-10T12:58:00Z</dcterms:created>
  <dcterms:modified xsi:type="dcterms:W3CDTF">2024-12-11T01:23:50Z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46DF6AFFF9484CFBB4394CCBB02C6BD3_13</vt:lpwstr>
  </property>
</Properties>
</file>