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A9FB9">
      <w:pPr>
        <w:pStyle w:val="8"/>
        <w:adjustRightInd w:val="0"/>
        <w:snapToGrid w:val="0"/>
        <w:spacing w:before="156" w:after="156" w:line="240" w:lineRule="auto"/>
        <w:ind w:left="0" w:leftChars="0" w:right="0" w:rightChars="0" w:firstLine="0" w:firstLineChars="0"/>
        <w:jc w:val="center"/>
        <w:rPr>
          <w:rFonts w:hint="default" w:ascii="Times New Roman" w:hAnsi="Times New Roman" w:eastAsia="方正小标宋简体" w:cs="Times New Roman"/>
          <w:color w:val="auto"/>
          <w:sz w:val="44"/>
          <w:szCs w:val="44"/>
          <w:lang w:eastAsia="zh-CN"/>
        </w:rPr>
      </w:pPr>
      <w:bookmarkStart w:id="0" w:name="_Toc17523"/>
      <w:r>
        <w:rPr>
          <w:rFonts w:hint="default" w:ascii="Times New Roman" w:hAnsi="Times New Roman" w:eastAsia="方正小标宋简体" w:cs="Times New Roman"/>
          <w:color w:val="auto"/>
          <w:sz w:val="44"/>
          <w:szCs w:val="44"/>
          <w:lang w:eastAsia="zh-CN"/>
        </w:rPr>
        <w:t>阳江市</w:t>
      </w:r>
      <w:r>
        <w:rPr>
          <w:rFonts w:hint="default" w:ascii="Times New Roman" w:hAnsi="Times New Roman" w:eastAsia="方正小标宋简体" w:cs="Times New Roman"/>
          <w:color w:val="auto"/>
          <w:sz w:val="44"/>
          <w:szCs w:val="44"/>
          <w:lang w:val="en-US" w:eastAsia="zh-CN"/>
        </w:rPr>
        <w:t>阳东区</w:t>
      </w:r>
      <w:r>
        <w:rPr>
          <w:rFonts w:hint="default" w:ascii="Times New Roman" w:hAnsi="Times New Roman" w:eastAsia="方正小标宋简体" w:cs="Times New Roman"/>
          <w:color w:val="auto"/>
          <w:sz w:val="44"/>
          <w:szCs w:val="44"/>
          <w:lang w:eastAsia="zh-CN"/>
        </w:rPr>
        <w:t>环境空气质量功能区划</w:t>
      </w:r>
    </w:p>
    <w:p w14:paraId="397E73A6">
      <w:pPr>
        <w:pStyle w:val="8"/>
        <w:adjustRightInd w:val="0"/>
        <w:snapToGrid w:val="0"/>
        <w:spacing w:before="156" w:after="156" w:line="240" w:lineRule="auto"/>
        <w:ind w:left="0" w:leftChars="0" w:right="0" w:rightChars="0" w:firstLine="0" w:firstLineChars="0"/>
        <w:jc w:val="center"/>
        <w:rPr>
          <w:rFonts w:hint="default" w:ascii="Times New Roman" w:hAnsi="Times New Roman" w:eastAsia="方正小标宋简体" w:cs="Times New Roman"/>
          <w:b w:val="0"/>
          <w:bCs/>
          <w:sz w:val="44"/>
          <w:szCs w:val="44"/>
          <w:lang w:val="en-US" w:eastAsia="zh-CN"/>
        </w:rPr>
      </w:pPr>
      <w:r>
        <w:rPr>
          <w:rFonts w:hint="default" w:ascii="Times New Roman" w:hAnsi="Times New Roman" w:eastAsia="方正小标宋简体" w:cs="Times New Roman"/>
          <w:color w:val="auto"/>
          <w:sz w:val="44"/>
          <w:szCs w:val="44"/>
          <w:lang w:eastAsia="zh-CN"/>
        </w:rPr>
        <w:t>调整方案编制说明</w:t>
      </w:r>
    </w:p>
    <w:p w14:paraId="533F7581">
      <w:pPr>
        <w:pStyle w:val="5"/>
        <w:pageBreakBefore w:val="0"/>
        <w:kinsoku/>
        <w:wordWrap/>
        <w:overflowPunct/>
        <w:topLinePunct w:val="0"/>
        <w:autoSpaceDE/>
        <w:autoSpaceDN/>
        <w:bidi w:val="0"/>
        <w:spacing w:line="560" w:lineRule="atLeast"/>
        <w:ind w:firstLine="0" w:firstLineChars="0"/>
        <w:textAlignment w:val="auto"/>
        <w:rPr>
          <w:rFonts w:hint="default" w:ascii="Times New Roman" w:hAnsi="Times New Roman" w:eastAsia="黑体" w:cs="Times New Roman"/>
          <w:b w:val="0"/>
          <w:bCs/>
          <w:sz w:val="32"/>
          <w:szCs w:val="32"/>
          <w:lang w:val="en-US" w:eastAsia="zh-CN"/>
        </w:rPr>
      </w:pPr>
    </w:p>
    <w:p w14:paraId="5DF1EB0A">
      <w:pPr>
        <w:pStyle w:val="5"/>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黑体" w:cs="Times New Roman"/>
          <w:b w:val="0"/>
          <w:bCs/>
          <w:sz w:val="32"/>
          <w:szCs w:val="32"/>
          <w:lang w:val="en-US"/>
        </w:rPr>
      </w:pPr>
      <w:r>
        <w:rPr>
          <w:rFonts w:hint="default" w:ascii="Times New Roman" w:hAnsi="Times New Roman" w:eastAsia="黑体" w:cs="Times New Roman"/>
          <w:b w:val="0"/>
          <w:bCs/>
          <w:sz w:val="32"/>
          <w:szCs w:val="32"/>
          <w:lang w:val="en-US" w:eastAsia="zh-CN"/>
        </w:rPr>
        <w:t>一、调整</w:t>
      </w:r>
      <w:bookmarkEnd w:id="0"/>
      <w:r>
        <w:rPr>
          <w:rFonts w:hint="default" w:ascii="Times New Roman" w:hAnsi="Times New Roman" w:eastAsia="黑体" w:cs="Times New Roman"/>
          <w:b w:val="0"/>
          <w:bCs/>
          <w:sz w:val="32"/>
          <w:szCs w:val="32"/>
          <w:lang w:val="en-US" w:eastAsia="zh-CN"/>
        </w:rPr>
        <w:t>必要性</w:t>
      </w:r>
    </w:p>
    <w:p w14:paraId="2F1A2B6F">
      <w:pPr>
        <w:ind w:firstLine="640" w:firstLineChars="200"/>
        <w:rPr>
          <w:rFonts w:hint="default" w:ascii="Times New Roman" w:hAnsi="Times New Roman" w:eastAsia="仿宋_GB2312" w:cs="Times New Roman"/>
          <w:sz w:val="32"/>
          <w:szCs w:val="32"/>
        </w:rPr>
      </w:pPr>
      <w:bookmarkStart w:id="1" w:name="_Toc17881"/>
      <w:r>
        <w:rPr>
          <w:rFonts w:hint="default" w:ascii="Times New Roman" w:hAnsi="Times New Roman" w:eastAsia="仿宋_GB2312" w:cs="Times New Roman"/>
          <w:sz w:val="32"/>
          <w:szCs w:val="32"/>
        </w:rPr>
        <w:t>阳东区现行的环境空气质量功能区划由2008年阳江市市政府印发实施的《阳江市环境保护规划纲要（2006-2020年）》（阳府〔2008〕35号）和阳东区政府印发实施的《关于调整阳东区大气环境功能区的通告》（东府告﹝2022﹞30号）确定。其中，《阳江市环境保护规划纲要（2006-2020年）》将陆域严格控制区全部划为一类环境空气质量功能区。但随着城市发展以及相关规划的调整变化，现行环境空气质量功能区划与国土空间规划、城市规划和“三线一单”最新成果，以及自然保护区、风景名胜区、森林公园及饮用水水源保护区等边界范围不符，因此有必要对环境空气质量功能分区进行更新调整，提升区划管控精准度，以适应新形势下的环境管理需要，更好地指导阳东区大气污染防治工作</w:t>
      </w:r>
      <w:r>
        <w:rPr>
          <w:rFonts w:hint="default" w:ascii="Times New Roman" w:hAnsi="Times New Roman" w:eastAsia="仿宋_GB2312" w:cs="Times New Roman"/>
          <w:sz w:val="32"/>
          <w:szCs w:val="32"/>
          <w:lang w:eastAsia="zh-CN"/>
        </w:rPr>
        <w:t>，服务阳</w:t>
      </w:r>
      <w:r>
        <w:rPr>
          <w:rFonts w:hint="default" w:ascii="Times New Roman" w:hAnsi="Times New Roman" w:eastAsia="仿宋_GB2312" w:cs="Times New Roman"/>
          <w:sz w:val="32"/>
          <w:szCs w:val="32"/>
          <w:lang w:val="en-US" w:eastAsia="zh-CN"/>
        </w:rPr>
        <w:t>东区的</w:t>
      </w:r>
      <w:r>
        <w:rPr>
          <w:rFonts w:hint="default" w:ascii="Times New Roman" w:hAnsi="Times New Roman" w:eastAsia="仿宋_GB2312" w:cs="Times New Roman"/>
          <w:sz w:val="32"/>
          <w:szCs w:val="32"/>
          <w:lang w:eastAsia="zh-CN"/>
        </w:rPr>
        <w:t>高质量发展</w:t>
      </w:r>
      <w:r>
        <w:rPr>
          <w:rFonts w:hint="default" w:ascii="Times New Roman" w:hAnsi="Times New Roman" w:eastAsia="仿宋_GB2312" w:cs="Times New Roman"/>
          <w:sz w:val="32"/>
          <w:szCs w:val="32"/>
        </w:rPr>
        <w:t>。</w:t>
      </w:r>
    </w:p>
    <w:p w14:paraId="0C025E95">
      <w:pPr>
        <w:pStyle w:val="5"/>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二、编制依据</w:t>
      </w:r>
      <w:bookmarkEnd w:id="1"/>
    </w:p>
    <w:p w14:paraId="6F403893">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（1）《中华人民共和国环境保护法》（2014年4月修订）；</w:t>
      </w:r>
    </w:p>
    <w:p w14:paraId="32D42124">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（2）《中华人民共和国大气污染防治法》（2018年10月修订）；</w:t>
      </w:r>
    </w:p>
    <w:p w14:paraId="64A2F1D0">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（3）《中华人民共和国城乡规划法》（2019年4月23日第二次修正）；</w:t>
      </w:r>
    </w:p>
    <w:p w14:paraId="3E479301">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（4）《中华人民共和国土地管理法》（2019年8月26日修正）；</w:t>
      </w:r>
    </w:p>
    <w:p w14:paraId="5FCC0703">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（5）《环境空气质量功能区划分原则与技术方法》（HJ14-1996）；</w:t>
      </w:r>
    </w:p>
    <w:p w14:paraId="2EF80861">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（6）《环境空气质量标准》（GB3095-2012）；</w:t>
      </w:r>
    </w:p>
    <w:p w14:paraId="4ABB56BF">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（7）《广东省地方标准大气污染物排放限值》（DB44/27-2001）；</w:t>
      </w:r>
    </w:p>
    <w:p w14:paraId="2482C2A6">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（8）《广东省人民政府关于印发部分市乡镇集中式饮用水源保护区划分方案的通知》（粤府函〔2015〕17号）；</w:t>
      </w:r>
    </w:p>
    <w:p w14:paraId="42BE0641">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（9）《广东省人民政府关于调整阳江市部分饮用水水源保护区的批复》（粤府函〔2019〕274号）；</w:t>
      </w:r>
    </w:p>
    <w:p w14:paraId="0F7F4E44">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（10）《关于优化调整严格控制区管控工作的通知》（粤环函〔2021〕179号）;</w:t>
      </w:r>
    </w:p>
    <w:p w14:paraId="73558D90">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（11）《阳江市环境保护规划纲要（2006-2020年）》（阳府〔2008〕35号）；</w:t>
      </w:r>
    </w:p>
    <w:p w14:paraId="687EBB20">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（12）《阳江市城市总体规划（2016-2035年）》；</w:t>
      </w:r>
    </w:p>
    <w:p w14:paraId="7C483C8D">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（13）《阳江市环境保护规划纲要（2016-2030年）》（阳府〔2018〕37号）；</w:t>
      </w:r>
    </w:p>
    <w:p w14:paraId="35114541">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（14）《阳江市“三线一单”生态环境分区管控方案》（阳府〔2021〕28号）；</w:t>
      </w:r>
    </w:p>
    <w:p w14:paraId="11DC1AD9">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（15）《阳江市阳东区国民经济和社会发展第十四个五年规划和二〇三五年远景目标纲要》（东府〔2021〕6号）；</w:t>
      </w:r>
    </w:p>
    <w:p w14:paraId="5D3E10D0">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（16）《阳江市国土空间总体规划》（2021-2035年）；</w:t>
      </w:r>
    </w:p>
    <w:p w14:paraId="3EB2AEAB">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（17）《阳东区大沟镇国土空间总体规划(2021-2035年)》；</w:t>
      </w:r>
    </w:p>
    <w:p w14:paraId="16099661">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（18）《阳东区东平镇国土空间总体规划(2021-2035年)》；</w:t>
      </w:r>
    </w:p>
    <w:p w14:paraId="0EC3D707">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（19）《阳东区新洲镇国土空间总体规划(2021-2035年)》；</w:t>
      </w:r>
    </w:p>
    <w:p w14:paraId="32669DE5">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（20）《阳东区塘坪镇国土空间总体规划(2021-2035年)》；</w:t>
      </w:r>
    </w:p>
    <w:p w14:paraId="78B35B49">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（21）《阳东区大八镇国土空间总体规划(2021-2035年)》；</w:t>
      </w:r>
    </w:p>
    <w:p w14:paraId="5376E099">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（22）《阳东区那龙镇国土空间总体规划(2021-2035年)》；</w:t>
      </w:r>
    </w:p>
    <w:p w14:paraId="24396834">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（23）《阳江市阳东区生态环境保护“十四五”规划》；</w:t>
      </w:r>
    </w:p>
    <w:p w14:paraId="50ABBF4C">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（24）《关于调整阳东区大气环境功能区的通告》（东府告﹝2022﹞30号）；</w:t>
      </w:r>
    </w:p>
    <w:p w14:paraId="6DF411D6">
      <w:pPr>
        <w:pStyle w:val="15"/>
        <w:pageBreakBefore w:val="0"/>
        <w:numPr>
          <w:ilvl w:val="0"/>
          <w:numId w:val="0"/>
        </w:numPr>
        <w:tabs>
          <w:tab w:val="left" w:pos="40"/>
        </w:tabs>
        <w:kinsoku/>
        <w:wordWrap/>
        <w:overflowPunct/>
        <w:topLinePunct w:val="0"/>
        <w:autoSpaceDE/>
        <w:autoSpaceDN/>
        <w:bidi w:val="0"/>
        <w:spacing w:line="560" w:lineRule="atLeas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（25）《阳江市阳东区环境空气质量功能区划调整方案》。</w:t>
      </w:r>
    </w:p>
    <w:p w14:paraId="1A7556D9">
      <w:pPr>
        <w:pStyle w:val="5"/>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黑体" w:cs="Times New Roman"/>
          <w:b w:val="0"/>
          <w:bCs/>
          <w:sz w:val="32"/>
          <w:szCs w:val="32"/>
          <w:lang w:val="en-US" w:eastAsia="zh-CN"/>
        </w:rPr>
      </w:pPr>
      <w:bookmarkStart w:id="2" w:name="_Toc16058"/>
      <w:r>
        <w:rPr>
          <w:rFonts w:hint="default" w:ascii="Times New Roman" w:hAnsi="Times New Roman" w:eastAsia="黑体" w:cs="Times New Roman"/>
          <w:b w:val="0"/>
          <w:bCs/>
          <w:sz w:val="32"/>
          <w:szCs w:val="32"/>
          <w:lang w:val="en-US" w:eastAsia="zh-CN"/>
        </w:rPr>
        <w:t>三、编制范围</w:t>
      </w:r>
      <w:bookmarkEnd w:id="2"/>
    </w:p>
    <w:p w14:paraId="69343FC9">
      <w:pPr>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本次环境空气质量功能区划调整范围为阳东区行政区划陆域范围，位于东经111°45′45"~112°21′16"，北纬21°42′10"~22°15′33"，包括东城、北惯、合山、那龙、雅韶、大沟、新洲、东平、塘坪、大八、红丰镇11个镇。</w:t>
      </w:r>
    </w:p>
    <w:p w14:paraId="4CC5F13D">
      <w:pPr>
        <w:pStyle w:val="5"/>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黑体" w:cs="Times New Roman"/>
          <w:b w:val="0"/>
          <w:bCs/>
          <w:sz w:val="32"/>
          <w:szCs w:val="32"/>
          <w:lang w:val="en-US" w:eastAsia="zh-CN"/>
        </w:rPr>
      </w:pPr>
      <w:bookmarkStart w:id="3" w:name="_Toc23501"/>
      <w:r>
        <w:rPr>
          <w:rFonts w:hint="default" w:ascii="Times New Roman" w:hAnsi="Times New Roman" w:eastAsia="黑体" w:cs="Times New Roman"/>
          <w:b w:val="0"/>
          <w:bCs/>
          <w:sz w:val="32"/>
          <w:szCs w:val="32"/>
          <w:lang w:val="en-US" w:eastAsia="zh-CN"/>
        </w:rPr>
        <w:t>四、调整原则</w:t>
      </w:r>
      <w:bookmarkEnd w:id="3"/>
    </w:p>
    <w:p w14:paraId="4C7C851E">
      <w:pPr>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参照《环境空气质量功能区划分原则与技术方法》（HJ 14-1996），环境空气质量功能区划工作遵循以下原则：</w:t>
      </w:r>
    </w:p>
    <w:p w14:paraId="6BDC66EF">
      <w:pPr>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（1）环境空气质量功能区的划分应充分利用现行行政区界或自然分界线；</w:t>
      </w:r>
    </w:p>
    <w:p w14:paraId="280AEEE8">
      <w:pPr>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（2）环境空气质量功能区划分宜粗不宜细；</w:t>
      </w:r>
    </w:p>
    <w:p w14:paraId="5DA7D857">
      <w:pPr>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（3）环境空气质量功能区划分既要考虑环境空气质量现状，又要兼顾城市发展规划；</w:t>
      </w:r>
    </w:p>
    <w:p w14:paraId="3B164766">
      <w:pPr>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（4）不能随意降低原已划定的功能区类别，划分尽量做到既客观科学，又便于操作管理和控制，有利于城市规划和城市环境综合管理的实施。</w:t>
      </w:r>
    </w:p>
    <w:p w14:paraId="6EC64F83">
      <w:pPr>
        <w:pStyle w:val="5"/>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五、编制过程</w:t>
      </w:r>
    </w:p>
    <w:p w14:paraId="6C1D7885">
      <w:pPr>
        <w:pageBreakBefore w:val="0"/>
        <w:kinsoku/>
        <w:wordWrap/>
        <w:overflowPunct/>
        <w:topLinePunct w:val="0"/>
        <w:autoSpaceDE/>
        <w:autoSpaceDN/>
        <w:bidi w:val="0"/>
        <w:spacing w:line="560" w:lineRule="atLeast"/>
        <w:ind w:firstLine="640" w:firstLineChars="200"/>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本次环境空气质量功能区划调整</w:t>
      </w:r>
      <w:r>
        <w:rPr>
          <w:rFonts w:hint="default" w:ascii="Times New Roman" w:hAnsi="Times New Roman" w:eastAsia="仿宋" w:cs="Times New Roman"/>
          <w:color w:val="auto"/>
          <w:sz w:val="32"/>
          <w:szCs w:val="32"/>
          <w:lang w:eastAsia="zh-CN"/>
        </w:rPr>
        <w:t>工作</w:t>
      </w:r>
      <w:r>
        <w:rPr>
          <w:rFonts w:hint="default" w:ascii="Times New Roman" w:hAnsi="Times New Roman" w:eastAsia="仿宋" w:cs="Times New Roman"/>
          <w:color w:val="auto"/>
          <w:sz w:val="32"/>
          <w:szCs w:val="32"/>
          <w:lang w:eastAsia="zh-CN"/>
        </w:rPr>
        <w:t>自正式启动以来</w:t>
      </w:r>
      <w:r>
        <w:rPr>
          <w:rFonts w:hint="default" w:ascii="Times New Roman" w:hAnsi="Times New Roman" w:eastAsia="仿宋" w:cs="Times New Roman"/>
          <w:color w:val="auto"/>
          <w:sz w:val="32"/>
          <w:szCs w:val="32"/>
          <w:lang w:eastAsia="zh-CN"/>
        </w:rPr>
        <w:t>，市生态环境局</w:t>
      </w:r>
      <w:r>
        <w:rPr>
          <w:rFonts w:hint="default" w:ascii="Times New Roman" w:hAnsi="Times New Roman" w:eastAsia="仿宋" w:cs="Times New Roman"/>
          <w:color w:val="auto"/>
          <w:sz w:val="32"/>
          <w:szCs w:val="32"/>
          <w:lang w:val="en-US" w:eastAsia="zh-CN"/>
        </w:rPr>
        <w:t>阳东</w:t>
      </w:r>
      <w:r>
        <w:rPr>
          <w:rFonts w:hint="default" w:ascii="Times New Roman" w:hAnsi="Times New Roman" w:eastAsia="仿宋" w:cs="Times New Roman"/>
          <w:color w:val="auto"/>
          <w:sz w:val="32"/>
          <w:szCs w:val="32"/>
          <w:lang w:eastAsia="zh-CN"/>
        </w:rPr>
        <w:t>分局</w:t>
      </w:r>
      <w:r>
        <w:rPr>
          <w:rFonts w:hint="default" w:ascii="Times New Roman" w:hAnsi="Times New Roman" w:eastAsia="仿宋" w:cs="Times New Roman"/>
          <w:color w:val="auto"/>
          <w:sz w:val="32"/>
          <w:szCs w:val="32"/>
          <w:lang w:eastAsia="zh-CN"/>
        </w:rPr>
        <w:t>牵头开展阳东区环境空气质量功能区划调整方案编制工作</w:t>
      </w:r>
      <w:r>
        <w:rPr>
          <w:rFonts w:hint="default" w:ascii="Times New Roman" w:hAnsi="Times New Roman" w:eastAsia="仿宋" w:cs="Times New Roman"/>
          <w:color w:val="auto"/>
          <w:sz w:val="32"/>
          <w:szCs w:val="32"/>
          <w:lang w:eastAsia="zh-CN"/>
        </w:rPr>
        <w:t>，多次组织实地调查与资料调研，在充分开展前期研究的基础上，形成《阳江市阳东区环境空气质量功能区划调整方案》（征求意见稿）并</w:t>
      </w:r>
      <w:r>
        <w:rPr>
          <w:rFonts w:hint="default" w:ascii="Times New Roman" w:hAnsi="Times New Roman" w:eastAsia="仿宋" w:cs="Times New Roman"/>
          <w:color w:val="auto"/>
          <w:sz w:val="32"/>
          <w:szCs w:val="32"/>
          <w:lang w:val="en-US" w:eastAsia="zh-CN"/>
        </w:rPr>
        <w:t>向</w:t>
      </w:r>
      <w:r>
        <w:rPr>
          <w:rFonts w:hint="default" w:ascii="Times New Roman" w:hAnsi="Times New Roman" w:eastAsia="仿宋" w:cs="Times New Roman"/>
          <w:color w:val="auto"/>
          <w:sz w:val="32"/>
          <w:szCs w:val="32"/>
          <w:lang w:eastAsia="zh-CN"/>
        </w:rPr>
        <w:t>各镇人民政府（管委会）及</w:t>
      </w:r>
      <w:r>
        <w:rPr>
          <w:rFonts w:hint="default" w:ascii="Times New Roman" w:hAnsi="Times New Roman" w:eastAsia="仿宋" w:cs="Times New Roman"/>
          <w:color w:val="auto"/>
          <w:sz w:val="32"/>
          <w:szCs w:val="32"/>
          <w:lang w:val="en-US" w:eastAsia="zh-CN"/>
        </w:rPr>
        <w:t>区</w:t>
      </w:r>
      <w:r>
        <w:rPr>
          <w:rFonts w:hint="default" w:ascii="Times New Roman" w:hAnsi="Times New Roman" w:eastAsia="仿宋" w:cs="Times New Roman"/>
          <w:color w:val="auto"/>
          <w:sz w:val="32"/>
          <w:szCs w:val="32"/>
          <w:lang w:eastAsia="zh-CN"/>
        </w:rPr>
        <w:t>直有关</w:t>
      </w:r>
      <w:r>
        <w:rPr>
          <w:rFonts w:hint="default" w:ascii="Times New Roman" w:hAnsi="Times New Roman" w:eastAsia="仿宋" w:cs="Times New Roman"/>
          <w:color w:val="auto"/>
          <w:sz w:val="32"/>
          <w:szCs w:val="32"/>
          <w:lang w:val="en-US" w:eastAsia="zh-CN"/>
        </w:rPr>
        <w:t>部门共25家</w:t>
      </w:r>
      <w:r>
        <w:rPr>
          <w:rFonts w:hint="default" w:ascii="Times New Roman" w:hAnsi="Times New Roman" w:eastAsia="仿宋" w:cs="Times New Roman"/>
          <w:color w:val="auto"/>
          <w:sz w:val="32"/>
          <w:szCs w:val="32"/>
          <w:lang w:eastAsia="zh-CN"/>
        </w:rPr>
        <w:t>单位书面征求</w:t>
      </w:r>
      <w:r>
        <w:rPr>
          <w:rFonts w:hint="default" w:ascii="Times New Roman" w:hAnsi="Times New Roman" w:eastAsia="仿宋" w:cs="Times New Roman"/>
          <w:color w:val="auto"/>
          <w:sz w:val="32"/>
          <w:szCs w:val="32"/>
          <w:lang w:val="en-US" w:eastAsia="zh-CN"/>
        </w:rPr>
        <w:t>意见</w:t>
      </w:r>
      <w:r>
        <w:rPr>
          <w:rFonts w:hint="default" w:ascii="Times New Roman" w:hAnsi="Times New Roman" w:eastAsia="仿宋" w:cs="Times New Roman"/>
          <w:color w:val="auto"/>
          <w:sz w:val="32"/>
          <w:szCs w:val="32"/>
          <w:lang w:eastAsia="zh-CN"/>
        </w:rPr>
        <w:t>。根据反馈意见，进一步修改完善，形成《阳江市阳东区环境空气质量功能区划调整方案》（</w:t>
      </w:r>
      <w:r>
        <w:rPr>
          <w:rFonts w:hint="default" w:ascii="Times New Roman" w:hAnsi="Times New Roman" w:eastAsia="仿宋" w:cs="Times New Roman"/>
          <w:color w:val="auto"/>
          <w:sz w:val="32"/>
          <w:szCs w:val="32"/>
          <w:lang w:val="en-US" w:eastAsia="zh-CN"/>
        </w:rPr>
        <w:t>公开征求意见稿</w:t>
      </w:r>
      <w:r>
        <w:rPr>
          <w:rFonts w:hint="default" w:ascii="Times New Roman" w:hAnsi="Times New Roman" w:eastAsia="仿宋" w:cs="Times New Roman"/>
          <w:color w:val="auto"/>
          <w:sz w:val="32"/>
          <w:szCs w:val="32"/>
          <w:lang w:eastAsia="zh-CN"/>
        </w:rPr>
        <w:t>）。</w:t>
      </w:r>
      <w:bookmarkStart w:id="4" w:name="_GoBack"/>
      <w:bookmarkEnd w:id="4"/>
    </w:p>
    <w:p w14:paraId="4DAB4FB3">
      <w:pPr>
        <w:pStyle w:val="2"/>
        <w:rPr>
          <w:rFonts w:hint="default" w:ascii="Times New Roman" w:hAnsi="Times New Roman" w:eastAsia="仿宋" w:cs="Times New Roman"/>
          <w:color w:val="auto"/>
          <w:sz w:val="32"/>
          <w:szCs w:val="32"/>
          <w:lang w:val="en-US" w:eastAsia="zh-CN"/>
        </w:rPr>
      </w:pPr>
    </w:p>
    <w:p w14:paraId="6CD59D2B">
      <w:pPr>
        <w:pStyle w:val="7"/>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640" w:firstLineChars="200"/>
        <w:jc w:val="both"/>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附件：阳东区环境空气功能区面积调整变化情况汇总表</w:t>
      </w:r>
    </w:p>
    <w:p w14:paraId="3DD138D5">
      <w:pPr>
        <w:rPr>
          <w:rFonts w:hint="default" w:ascii="Times New Roman" w:hAnsi="Times New Roman" w:cs="Times New Roman"/>
          <w:lang w:val="en-US"/>
        </w:rPr>
      </w:pPr>
    </w:p>
    <w:p w14:paraId="7A0558B9">
      <w:pPr>
        <w:pStyle w:val="7"/>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default" w:ascii="Times New Roman" w:hAnsi="Times New Roman" w:cs="Times New Roman"/>
          <w:sz w:val="24"/>
          <w:szCs w:val="22"/>
          <w:lang w:val="en-US" w:eastAsia="zh-CN"/>
        </w:rPr>
      </w:pPr>
      <w:r>
        <w:rPr>
          <w:rFonts w:hint="default" w:ascii="Times New Roman" w:hAnsi="Times New Roman" w:cs="Times New Roman"/>
          <w:lang w:val="en-US" w:eastAsia="zh-CN"/>
        </w:rPr>
        <w:t xml:space="preserve">    </w:t>
      </w:r>
      <w:r>
        <w:rPr>
          <w:rFonts w:hint="default" w:ascii="Times New Roman" w:hAnsi="Times New Roman" w:cs="Times New Roman"/>
          <w:sz w:val="24"/>
          <w:szCs w:val="22"/>
          <w:lang w:val="en-US" w:eastAsia="zh-CN"/>
        </w:rPr>
        <w:t>阳东区环境空气功能区面积调整变化情况汇总表</w:t>
      </w:r>
    </w:p>
    <w:tbl>
      <w:tblPr>
        <w:tblStyle w:val="12"/>
        <w:tblW w:w="8517" w:type="dxa"/>
        <w:jc w:val="center"/>
        <w:tblLayout w:type="fixed"/>
        <w:tblCellMar>
          <w:top w:w="0" w:type="dxa"/>
          <w:left w:w="108" w:type="dxa"/>
          <w:bottom w:w="0" w:type="dxa"/>
          <w:right w:w="108" w:type="dxa"/>
        </w:tblCellMar>
      </w:tblPr>
      <w:tblGrid>
        <w:gridCol w:w="1007"/>
        <w:gridCol w:w="1123"/>
        <w:gridCol w:w="1187"/>
        <w:gridCol w:w="1063"/>
        <w:gridCol w:w="1162"/>
        <w:gridCol w:w="1272"/>
        <w:gridCol w:w="1703"/>
      </w:tblGrid>
      <w:tr w14:paraId="00420F18">
        <w:tblPrEx>
          <w:tblCellMar>
            <w:top w:w="0" w:type="dxa"/>
            <w:left w:w="108" w:type="dxa"/>
            <w:bottom w:w="0" w:type="dxa"/>
            <w:right w:w="108" w:type="dxa"/>
          </w:tblCellMar>
        </w:tblPrEx>
        <w:trPr>
          <w:trHeight w:val="273" w:hRule="atLeast"/>
          <w:tblHeader/>
          <w:jc w:val="center"/>
        </w:trPr>
        <w:tc>
          <w:tcPr>
            <w:tcW w:w="1007" w:type="dxa"/>
            <w:vMerge w:val="restart"/>
            <w:tcBorders>
              <w:top w:val="single" w:color="000000" w:sz="4" w:space="0"/>
              <w:left w:val="single" w:color="000000" w:sz="4" w:space="0"/>
              <w:right w:val="single" w:color="000000" w:sz="4" w:space="0"/>
            </w:tcBorders>
            <w:vAlign w:val="center"/>
          </w:tcPr>
          <w:p w14:paraId="3BBD81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cs="Times New Roman"/>
                <w:b/>
                <w:bCs/>
                <w:sz w:val="24"/>
                <w:szCs w:val="24"/>
                <w:lang w:val="en-US" w:eastAsia="zh-CN"/>
              </w:rPr>
              <w:t>行政区域</w:t>
            </w:r>
          </w:p>
        </w:tc>
        <w:tc>
          <w:tcPr>
            <w:tcW w:w="2310" w:type="dxa"/>
            <w:gridSpan w:val="2"/>
            <w:tcBorders>
              <w:top w:val="single" w:color="000000" w:sz="4" w:space="0"/>
              <w:left w:val="single" w:color="000000" w:sz="4" w:space="0"/>
              <w:bottom w:val="single" w:color="000000" w:sz="4" w:space="0"/>
              <w:right w:val="single" w:color="000000" w:sz="4" w:space="0"/>
            </w:tcBorders>
            <w:vAlign w:val="center"/>
          </w:tcPr>
          <w:p w14:paraId="260F2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调整前面积</w:t>
            </w:r>
          </w:p>
        </w:tc>
        <w:tc>
          <w:tcPr>
            <w:tcW w:w="2225" w:type="dxa"/>
            <w:gridSpan w:val="2"/>
            <w:tcBorders>
              <w:top w:val="single" w:color="000000" w:sz="4" w:space="0"/>
              <w:left w:val="single" w:color="000000" w:sz="4" w:space="0"/>
              <w:bottom w:val="single" w:color="000000" w:sz="4" w:space="0"/>
              <w:right w:val="single" w:color="000000" w:sz="4" w:space="0"/>
            </w:tcBorders>
            <w:vAlign w:val="center"/>
          </w:tcPr>
          <w:p w14:paraId="4DAFFC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cs="Times New Roman"/>
                <w:b/>
                <w:bCs/>
                <w:sz w:val="24"/>
                <w:szCs w:val="24"/>
                <w:lang w:val="en-US" w:eastAsia="zh-CN"/>
              </w:rPr>
              <w:t>调整后面积</w:t>
            </w:r>
          </w:p>
        </w:tc>
        <w:tc>
          <w:tcPr>
            <w:tcW w:w="2975" w:type="dxa"/>
            <w:gridSpan w:val="2"/>
            <w:tcBorders>
              <w:top w:val="single" w:color="000000" w:sz="4" w:space="0"/>
              <w:left w:val="single" w:color="000000" w:sz="4" w:space="0"/>
              <w:bottom w:val="single" w:color="000000" w:sz="4" w:space="0"/>
              <w:right w:val="single" w:color="000000" w:sz="4" w:space="0"/>
            </w:tcBorders>
            <w:vAlign w:val="center"/>
          </w:tcPr>
          <w:p w14:paraId="46367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cs="Times New Roman"/>
                <w:b/>
                <w:bCs/>
                <w:sz w:val="24"/>
                <w:szCs w:val="24"/>
                <w:lang w:val="en-US" w:eastAsia="zh-CN"/>
              </w:rPr>
              <w:t>一类区变化情况</w:t>
            </w:r>
          </w:p>
        </w:tc>
      </w:tr>
      <w:tr w14:paraId="76C9E1CA">
        <w:tblPrEx>
          <w:tblCellMar>
            <w:top w:w="0" w:type="dxa"/>
            <w:left w:w="108" w:type="dxa"/>
            <w:bottom w:w="0" w:type="dxa"/>
            <w:right w:w="108" w:type="dxa"/>
          </w:tblCellMar>
        </w:tblPrEx>
        <w:trPr>
          <w:trHeight w:val="377" w:hRule="atLeast"/>
          <w:jc w:val="center"/>
        </w:trPr>
        <w:tc>
          <w:tcPr>
            <w:tcW w:w="1007" w:type="dxa"/>
            <w:vMerge w:val="continue"/>
            <w:tcBorders>
              <w:left w:val="single" w:color="000000" w:sz="4" w:space="0"/>
              <w:bottom w:val="single" w:color="000000" w:sz="4" w:space="0"/>
              <w:right w:val="single" w:color="000000" w:sz="4" w:space="0"/>
            </w:tcBorders>
            <w:vAlign w:val="center"/>
          </w:tcPr>
          <w:p w14:paraId="4A628B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sz w:val="24"/>
                <w:szCs w:val="24"/>
              </w:rPr>
            </w:pPr>
          </w:p>
        </w:tc>
        <w:tc>
          <w:tcPr>
            <w:tcW w:w="1123" w:type="dxa"/>
            <w:tcBorders>
              <w:top w:val="single" w:color="000000" w:sz="4" w:space="0"/>
              <w:left w:val="single" w:color="000000" w:sz="4" w:space="0"/>
              <w:bottom w:val="single" w:color="000000" w:sz="4" w:space="0"/>
              <w:right w:val="single" w:color="000000" w:sz="4" w:space="0"/>
            </w:tcBorders>
            <w:vAlign w:val="center"/>
          </w:tcPr>
          <w:p w14:paraId="5F49C1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cs="Times New Roman"/>
                <w:b/>
                <w:bCs/>
                <w:sz w:val="24"/>
                <w:szCs w:val="24"/>
                <w:lang w:val="en-US" w:eastAsia="zh-CN"/>
              </w:rPr>
              <w:t>一类区（km</w:t>
            </w:r>
            <w:r>
              <w:rPr>
                <w:rFonts w:hint="default" w:ascii="Times New Roman" w:hAnsi="Times New Roman" w:cs="Times New Roman"/>
                <w:b/>
                <w:bCs/>
                <w:sz w:val="24"/>
                <w:szCs w:val="24"/>
                <w:vertAlign w:val="superscript"/>
                <w:lang w:val="en-US" w:eastAsia="zh-CN"/>
              </w:rPr>
              <w:t>2</w:t>
            </w:r>
            <w:r>
              <w:rPr>
                <w:rFonts w:hint="default" w:ascii="Times New Roman" w:hAnsi="Times New Roman" w:cs="Times New Roman"/>
                <w:b/>
                <w:bCs/>
                <w:sz w:val="24"/>
                <w:szCs w:val="24"/>
                <w:lang w:val="en-US" w:eastAsia="zh-CN"/>
              </w:rPr>
              <w:t>）</w:t>
            </w:r>
          </w:p>
        </w:tc>
        <w:tc>
          <w:tcPr>
            <w:tcW w:w="1187" w:type="dxa"/>
            <w:tcBorders>
              <w:top w:val="single" w:color="000000" w:sz="4" w:space="0"/>
              <w:left w:val="single" w:color="000000" w:sz="4" w:space="0"/>
              <w:bottom w:val="single" w:color="000000" w:sz="4" w:space="0"/>
              <w:right w:val="single" w:color="000000" w:sz="4" w:space="0"/>
            </w:tcBorders>
            <w:vAlign w:val="center"/>
          </w:tcPr>
          <w:p w14:paraId="6592CE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cs="Times New Roman"/>
                <w:b/>
                <w:bCs/>
                <w:sz w:val="24"/>
                <w:szCs w:val="24"/>
                <w:lang w:val="en-US" w:eastAsia="zh-CN"/>
              </w:rPr>
              <w:t>二类区（km</w:t>
            </w:r>
            <w:r>
              <w:rPr>
                <w:rFonts w:hint="default" w:ascii="Times New Roman" w:hAnsi="Times New Roman" w:cs="Times New Roman"/>
                <w:b/>
                <w:bCs/>
                <w:sz w:val="24"/>
                <w:szCs w:val="24"/>
                <w:vertAlign w:val="superscript"/>
                <w:lang w:val="en-US" w:eastAsia="zh-CN"/>
              </w:rPr>
              <w:t>2</w:t>
            </w:r>
            <w:r>
              <w:rPr>
                <w:rFonts w:hint="default" w:ascii="Times New Roman" w:hAnsi="Times New Roman" w:cs="Times New Roman"/>
                <w:b/>
                <w:bCs/>
                <w:sz w:val="24"/>
                <w:szCs w:val="24"/>
                <w:lang w:val="en-US" w:eastAsia="zh-CN"/>
              </w:rPr>
              <w:t>）</w:t>
            </w:r>
          </w:p>
        </w:tc>
        <w:tc>
          <w:tcPr>
            <w:tcW w:w="1063" w:type="dxa"/>
            <w:tcBorders>
              <w:top w:val="single" w:color="000000" w:sz="4" w:space="0"/>
              <w:left w:val="single" w:color="000000" w:sz="4" w:space="0"/>
              <w:bottom w:val="single" w:color="000000" w:sz="4" w:space="0"/>
              <w:right w:val="single" w:color="000000" w:sz="4" w:space="0"/>
            </w:tcBorders>
            <w:vAlign w:val="center"/>
          </w:tcPr>
          <w:p w14:paraId="28EF0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b/>
                <w:bCs/>
                <w:kern w:val="2"/>
                <w:sz w:val="24"/>
                <w:szCs w:val="24"/>
                <w:lang w:val="en-US" w:eastAsia="zh-CN" w:bidi="ar-SA"/>
              </w:rPr>
            </w:pPr>
            <w:r>
              <w:rPr>
                <w:rFonts w:hint="default" w:ascii="Times New Roman" w:hAnsi="Times New Roman" w:cs="Times New Roman"/>
                <w:b/>
                <w:bCs/>
                <w:sz w:val="24"/>
                <w:szCs w:val="24"/>
                <w:lang w:val="en-US" w:eastAsia="zh-CN"/>
              </w:rPr>
              <w:t>一类区（km</w:t>
            </w:r>
            <w:r>
              <w:rPr>
                <w:rFonts w:hint="default" w:ascii="Times New Roman" w:hAnsi="Times New Roman" w:cs="Times New Roman"/>
                <w:b/>
                <w:bCs/>
                <w:sz w:val="24"/>
                <w:szCs w:val="24"/>
                <w:vertAlign w:val="superscript"/>
                <w:lang w:val="en-US" w:eastAsia="zh-CN"/>
              </w:rPr>
              <w:t>2</w:t>
            </w:r>
            <w:r>
              <w:rPr>
                <w:rFonts w:hint="default" w:ascii="Times New Roman" w:hAnsi="Times New Roman" w:cs="Times New Roman"/>
                <w:b/>
                <w:bCs/>
                <w:sz w:val="24"/>
                <w:szCs w:val="24"/>
                <w:lang w:val="en-US" w:eastAsia="zh-CN"/>
              </w:rPr>
              <w:t>）</w:t>
            </w:r>
          </w:p>
        </w:tc>
        <w:tc>
          <w:tcPr>
            <w:tcW w:w="1162" w:type="dxa"/>
            <w:tcBorders>
              <w:top w:val="single" w:color="000000" w:sz="4" w:space="0"/>
              <w:left w:val="single" w:color="000000" w:sz="4" w:space="0"/>
              <w:bottom w:val="single" w:color="000000" w:sz="4" w:space="0"/>
              <w:right w:val="single" w:color="000000" w:sz="4" w:space="0"/>
            </w:tcBorders>
            <w:vAlign w:val="center"/>
          </w:tcPr>
          <w:p w14:paraId="5B0C4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b/>
                <w:bCs/>
                <w:kern w:val="2"/>
                <w:sz w:val="24"/>
                <w:szCs w:val="24"/>
                <w:lang w:val="en-US" w:eastAsia="zh-CN" w:bidi="ar-SA"/>
              </w:rPr>
            </w:pPr>
            <w:r>
              <w:rPr>
                <w:rFonts w:hint="default" w:ascii="Times New Roman" w:hAnsi="Times New Roman" w:cs="Times New Roman"/>
                <w:b/>
                <w:bCs/>
                <w:sz w:val="24"/>
                <w:szCs w:val="24"/>
                <w:lang w:val="en-US" w:eastAsia="zh-CN"/>
              </w:rPr>
              <w:t>二类区（km</w:t>
            </w:r>
            <w:r>
              <w:rPr>
                <w:rFonts w:hint="default" w:ascii="Times New Roman" w:hAnsi="Times New Roman" w:cs="Times New Roman"/>
                <w:b/>
                <w:bCs/>
                <w:sz w:val="24"/>
                <w:szCs w:val="24"/>
                <w:vertAlign w:val="superscript"/>
                <w:lang w:val="en-US" w:eastAsia="zh-CN"/>
              </w:rPr>
              <w:t>2</w:t>
            </w:r>
            <w:r>
              <w:rPr>
                <w:rFonts w:hint="default" w:ascii="Times New Roman" w:hAnsi="Times New Roman" w:cs="Times New Roman"/>
                <w:b/>
                <w:bCs/>
                <w:sz w:val="24"/>
                <w:szCs w:val="24"/>
                <w:lang w:val="en-US" w:eastAsia="zh-CN"/>
              </w:rPr>
              <w:t>）</w:t>
            </w:r>
          </w:p>
        </w:tc>
        <w:tc>
          <w:tcPr>
            <w:tcW w:w="1272" w:type="dxa"/>
            <w:tcBorders>
              <w:top w:val="single" w:color="000000" w:sz="4" w:space="0"/>
              <w:left w:val="single" w:color="000000" w:sz="4" w:space="0"/>
              <w:bottom w:val="single" w:color="000000" w:sz="4" w:space="0"/>
              <w:right w:val="single" w:color="000000" w:sz="4" w:space="0"/>
            </w:tcBorders>
            <w:vAlign w:val="center"/>
          </w:tcPr>
          <w:p w14:paraId="1BDA93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cs="Times New Roman"/>
                <w:b/>
                <w:bCs/>
                <w:sz w:val="24"/>
                <w:szCs w:val="24"/>
                <w:lang w:val="en-US" w:eastAsia="zh-CN"/>
              </w:rPr>
              <w:t>面积变化（km</w:t>
            </w:r>
            <w:r>
              <w:rPr>
                <w:rFonts w:hint="default" w:ascii="Times New Roman" w:hAnsi="Times New Roman" w:cs="Times New Roman"/>
                <w:b/>
                <w:bCs/>
                <w:sz w:val="24"/>
                <w:szCs w:val="24"/>
                <w:vertAlign w:val="superscript"/>
                <w:lang w:val="en-US" w:eastAsia="zh-CN"/>
              </w:rPr>
              <w:t>2</w:t>
            </w:r>
            <w:r>
              <w:rPr>
                <w:rFonts w:hint="default" w:ascii="Times New Roman" w:hAnsi="Times New Roman" w:cs="Times New Roman"/>
                <w:b/>
                <w:bCs/>
                <w:sz w:val="24"/>
                <w:szCs w:val="24"/>
                <w:lang w:val="en-US" w:eastAsia="zh-CN"/>
              </w:rPr>
              <w:t>）</w:t>
            </w:r>
          </w:p>
        </w:tc>
        <w:tc>
          <w:tcPr>
            <w:tcW w:w="1703" w:type="dxa"/>
            <w:tcBorders>
              <w:top w:val="single" w:color="000000" w:sz="4" w:space="0"/>
              <w:left w:val="single" w:color="000000" w:sz="4" w:space="0"/>
              <w:bottom w:val="single" w:color="000000" w:sz="4" w:space="0"/>
              <w:right w:val="single" w:color="000000" w:sz="4" w:space="0"/>
            </w:tcBorders>
            <w:vAlign w:val="center"/>
          </w:tcPr>
          <w:p w14:paraId="5DDB6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cs="Times New Roman"/>
                <w:b/>
                <w:bCs/>
                <w:sz w:val="24"/>
                <w:szCs w:val="24"/>
                <w:lang w:val="en-US" w:eastAsia="zh-CN"/>
              </w:rPr>
              <w:t>占区域总面积比例（%）</w:t>
            </w:r>
          </w:p>
        </w:tc>
      </w:tr>
      <w:tr w14:paraId="1E3106F1">
        <w:tblPrEx>
          <w:tblCellMar>
            <w:top w:w="0" w:type="dxa"/>
            <w:left w:w="108" w:type="dxa"/>
            <w:bottom w:w="0" w:type="dxa"/>
            <w:right w:w="108" w:type="dxa"/>
          </w:tblCellMar>
        </w:tblPrEx>
        <w:trPr>
          <w:trHeight w:val="343" w:hRule="atLeast"/>
          <w:jc w:val="center"/>
        </w:trPr>
        <w:tc>
          <w:tcPr>
            <w:tcW w:w="1007" w:type="dxa"/>
            <w:tcBorders>
              <w:top w:val="single" w:color="000000" w:sz="4" w:space="0"/>
              <w:left w:val="single" w:color="000000" w:sz="4" w:space="0"/>
              <w:bottom w:val="single" w:color="000000" w:sz="4" w:space="0"/>
              <w:right w:val="single" w:color="000000" w:sz="4" w:space="0"/>
            </w:tcBorders>
            <w:vAlign w:val="center"/>
          </w:tcPr>
          <w:p w14:paraId="6728A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阳东区</w:t>
            </w:r>
          </w:p>
        </w:tc>
        <w:tc>
          <w:tcPr>
            <w:tcW w:w="1123" w:type="dxa"/>
            <w:tcBorders>
              <w:top w:val="single" w:color="000000" w:sz="4" w:space="0"/>
              <w:left w:val="single" w:color="000000" w:sz="4" w:space="0"/>
              <w:bottom w:val="single" w:color="000000" w:sz="4" w:space="0"/>
              <w:right w:val="single" w:color="000000" w:sz="4" w:space="0"/>
            </w:tcBorders>
            <w:vAlign w:val="center"/>
          </w:tcPr>
          <w:p w14:paraId="0D7194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333.72</w:t>
            </w:r>
          </w:p>
        </w:tc>
        <w:tc>
          <w:tcPr>
            <w:tcW w:w="1187" w:type="dxa"/>
            <w:tcBorders>
              <w:top w:val="single" w:color="000000" w:sz="4" w:space="0"/>
              <w:left w:val="single" w:color="000000" w:sz="4" w:space="0"/>
              <w:bottom w:val="single" w:color="000000" w:sz="4" w:space="0"/>
              <w:right w:val="single" w:color="000000" w:sz="4" w:space="0"/>
            </w:tcBorders>
            <w:vAlign w:val="center"/>
          </w:tcPr>
          <w:p w14:paraId="57569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1371.27</w:t>
            </w:r>
          </w:p>
        </w:tc>
        <w:tc>
          <w:tcPr>
            <w:tcW w:w="1063" w:type="dxa"/>
            <w:tcBorders>
              <w:top w:val="single" w:color="000000" w:sz="4" w:space="0"/>
              <w:left w:val="single" w:color="000000" w:sz="4" w:space="0"/>
              <w:bottom w:val="single" w:color="000000" w:sz="4" w:space="0"/>
              <w:right w:val="single" w:color="000000" w:sz="4" w:space="0"/>
            </w:tcBorders>
            <w:vAlign w:val="center"/>
          </w:tcPr>
          <w:p w14:paraId="43D8AA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279.61</w:t>
            </w:r>
          </w:p>
        </w:tc>
        <w:tc>
          <w:tcPr>
            <w:tcW w:w="1162" w:type="dxa"/>
            <w:tcBorders>
              <w:top w:val="single" w:color="000000" w:sz="4" w:space="0"/>
              <w:left w:val="single" w:color="000000" w:sz="4" w:space="0"/>
              <w:bottom w:val="single" w:color="000000" w:sz="4" w:space="0"/>
              <w:right w:val="single" w:color="000000" w:sz="4" w:space="0"/>
            </w:tcBorders>
            <w:vAlign w:val="center"/>
          </w:tcPr>
          <w:p w14:paraId="196126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rPr>
              <w:t>1425.38</w:t>
            </w:r>
          </w:p>
        </w:tc>
        <w:tc>
          <w:tcPr>
            <w:tcW w:w="1272" w:type="dxa"/>
            <w:tcBorders>
              <w:top w:val="single" w:color="000000" w:sz="4" w:space="0"/>
              <w:left w:val="single" w:color="000000" w:sz="4" w:space="0"/>
              <w:bottom w:val="single" w:color="000000" w:sz="4" w:space="0"/>
              <w:right w:val="single" w:color="000000" w:sz="4" w:space="0"/>
            </w:tcBorders>
            <w:vAlign w:val="center"/>
          </w:tcPr>
          <w:p w14:paraId="051C5D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-54.11</w:t>
            </w:r>
          </w:p>
        </w:tc>
        <w:tc>
          <w:tcPr>
            <w:tcW w:w="1703" w:type="dxa"/>
            <w:tcBorders>
              <w:top w:val="single" w:color="000000" w:sz="4" w:space="0"/>
              <w:left w:val="single" w:color="000000" w:sz="4" w:space="0"/>
              <w:bottom w:val="single" w:color="000000" w:sz="4" w:space="0"/>
              <w:right w:val="single" w:color="000000" w:sz="4" w:space="0"/>
            </w:tcBorders>
            <w:vAlign w:val="center"/>
          </w:tcPr>
          <w:p w14:paraId="2EB24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3.2</w:t>
            </w:r>
          </w:p>
        </w:tc>
      </w:tr>
    </w:tbl>
    <w:p w14:paraId="0B1AC67E">
      <w:pPr>
        <w:pageBreakBefore w:val="0"/>
        <w:kinsoku/>
        <w:wordWrap/>
        <w:overflowPunct/>
        <w:topLinePunct w:val="0"/>
        <w:autoSpaceDE/>
        <w:autoSpaceDN/>
        <w:bidi w:val="0"/>
        <w:spacing w:line="560" w:lineRule="atLeast"/>
        <w:textAlignment w:val="auto"/>
        <w:rPr>
          <w:rFonts w:hint="default" w:ascii="Times New Roman" w:hAnsi="Times New Roman" w:eastAsia="宋体" w:cs="Times New Roman"/>
          <w:lang w:val="en-US" w:eastAsia="zh-CN"/>
        </w:rPr>
      </w:pPr>
    </w:p>
    <w:p w14:paraId="3D2DE7EA">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3B12A1E7">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33333C44">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378A2537">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659151E1">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46202169">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7CA7AE87">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3193F5DC">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1F27F5CD">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48900559">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28AA083D">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627BAB4E">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73F2FD46">
      <w:pPr>
        <w:pageBreakBefore w:val="0"/>
        <w:kinsoku/>
        <w:wordWrap/>
        <w:overflowPunct/>
        <w:topLinePunct w:val="0"/>
        <w:autoSpaceDE/>
        <w:autoSpaceDN/>
        <w:bidi w:val="0"/>
        <w:spacing w:line="560" w:lineRule="atLeast"/>
        <w:textAlignment w:val="auto"/>
        <w:rPr>
          <w:rFonts w:hint="default" w:ascii="Times New Roman" w:hAnsi="Times New Roman" w:cs="Times New Roman"/>
        </w:rPr>
      </w:pPr>
    </w:p>
    <w:p w14:paraId="56AABF36">
      <w:pPr>
        <w:rPr>
          <w:rFonts w:hint="default" w:ascii="Times New Roman" w:hAnsi="Times New Roman" w:cs="Times New Roma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2CD6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DA1E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CDA1E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MjgxMGI4MjU2MzUxNTZmZGUyNTUyMjY0YzUxN2MifQ=="/>
  </w:docVars>
  <w:rsids>
    <w:rsidRoot w:val="00000000"/>
    <w:rsid w:val="0E3177FA"/>
    <w:rsid w:val="16243F84"/>
    <w:rsid w:val="1B1F55EB"/>
    <w:rsid w:val="24321788"/>
    <w:rsid w:val="2E2C5DA4"/>
    <w:rsid w:val="381E5863"/>
    <w:rsid w:val="3EFB01E2"/>
    <w:rsid w:val="3F464111"/>
    <w:rsid w:val="441417D8"/>
    <w:rsid w:val="45264B9A"/>
    <w:rsid w:val="47E4389C"/>
    <w:rsid w:val="4C096D2E"/>
    <w:rsid w:val="4FA15035"/>
    <w:rsid w:val="57B61920"/>
    <w:rsid w:val="61E26FC6"/>
    <w:rsid w:val="63607A10"/>
    <w:rsid w:val="67105AAE"/>
    <w:rsid w:val="77D6769B"/>
    <w:rsid w:val="79D378EE"/>
    <w:rsid w:val="7F183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line="576" w:lineRule="auto"/>
      <w:outlineLvl w:val="0"/>
    </w:pPr>
    <w:rPr>
      <w:b/>
      <w:kern w:val="44"/>
      <w:sz w:val="44"/>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adjustRightInd w:val="0"/>
      <w:snapToGrid w:val="0"/>
      <w:spacing w:line="360" w:lineRule="auto"/>
      <w:ind w:firstLine="200" w:firstLineChars="200"/>
    </w:pPr>
    <w:rPr>
      <w:kern w:val="2"/>
      <w:sz w:val="24"/>
      <w:szCs w:val="21"/>
    </w:rPr>
  </w:style>
  <w:style w:type="paragraph" w:styleId="3">
    <w:name w:val="Body Text Indent"/>
    <w:basedOn w:val="1"/>
    <w:next w:val="4"/>
    <w:qFormat/>
    <w:uiPriority w:val="0"/>
    <w:pPr>
      <w:spacing w:after="120" w:afterLines="0" w:line="560" w:lineRule="exact"/>
      <w:ind w:left="420" w:leftChars="200" w:firstLine="720"/>
    </w:pPr>
    <w:rPr>
      <w:rFonts w:eastAsia="仿宋_GB2312"/>
      <w:kern w:val="2"/>
      <w:sz w:val="28"/>
      <w:szCs w:val="22"/>
    </w:rPr>
  </w:style>
  <w:style w:type="paragraph" w:styleId="4">
    <w:name w:val="Body Text Indent 2"/>
    <w:basedOn w:val="1"/>
    <w:next w:val="1"/>
    <w:qFormat/>
    <w:uiPriority w:val="0"/>
    <w:pPr>
      <w:ind w:firstLine="630"/>
    </w:pPr>
    <w:rPr>
      <w:rFonts w:eastAsia="宋体"/>
      <w:b/>
    </w:rPr>
  </w:style>
  <w:style w:type="paragraph" w:styleId="7">
    <w:name w:val="caption"/>
    <w:basedOn w:val="1"/>
    <w:next w:val="1"/>
    <w:unhideWhenUsed/>
    <w:qFormat/>
    <w:uiPriority w:val="0"/>
    <w:pPr>
      <w:ind w:firstLine="0" w:firstLineChars="0"/>
      <w:jc w:val="center"/>
      <w:outlineLvl w:val="3"/>
    </w:pPr>
    <w:rPr>
      <w:rFonts w:ascii="Times New Roman" w:hAnsi="Times New Roman" w:eastAsia="黑体"/>
      <w:sz w:val="28"/>
    </w:rPr>
  </w:style>
  <w:style w:type="paragraph" w:styleId="8">
    <w:name w:val="Plain Text"/>
    <w:unhideWhenUsed/>
    <w:qFormat/>
    <w:uiPriority w:val="99"/>
    <w:pPr>
      <w:widowControl w:val="0"/>
      <w:spacing w:after="120" w:afterLines="0" w:line="300" w:lineRule="auto"/>
      <w:ind w:firstLine="624"/>
      <w:jc w:val="both"/>
    </w:pPr>
    <w:rPr>
      <w:rFonts w:ascii="宋体" w:hAnsi="Courier New" w:eastAsia="宋体" w:cs="Times New Roman"/>
      <w:kern w:val="2"/>
      <w:sz w:val="28"/>
      <w:szCs w:val="20"/>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basedOn w:val="1"/>
    <w:qFormat/>
    <w:uiPriority w:val="0"/>
    <w:pPr>
      <w:snapToGrid w:val="0"/>
      <w:jc w:val="left"/>
    </w:pPr>
    <w:rPr>
      <w:sz w:val="18"/>
    </w:rPr>
  </w:style>
  <w:style w:type="character" w:styleId="14">
    <w:name w:val="footnote reference"/>
    <w:basedOn w:val="13"/>
    <w:qFormat/>
    <w:uiPriority w:val="0"/>
    <w:rPr>
      <w:vertAlign w:val="superscript"/>
    </w:rPr>
  </w:style>
  <w:style w:type="paragraph" w:customStyle="1" w:styleId="15">
    <w:name w:val="文章正文"/>
    <w:basedOn w:val="1"/>
    <w:next w:val="1"/>
    <w:qFormat/>
    <w:uiPriority w:val="0"/>
    <w:pPr>
      <w:widowControl/>
      <w:ind w:firstLine="200" w:firstLineChars="200"/>
    </w:pPr>
    <w:rPr>
      <w:rFonts w:ascii="Times New Roman" w:hAnsi="Times New Roman"/>
      <w:sz w:val="24"/>
    </w:rPr>
  </w:style>
  <w:style w:type="paragraph" w:customStyle="1" w:styleId="16">
    <w:name w:val="_Style 5"/>
    <w:qFormat/>
    <w:uiPriority w:val="0"/>
    <w:pPr>
      <w:widowControl w:val="0"/>
      <w:ind w:firstLine="200" w:firstLineChars="200"/>
      <w:jc w:val="both"/>
    </w:pPr>
    <w:rPr>
      <w:rFonts w:ascii="Calibri" w:hAnsi="Calibri" w:eastAsia="宋体" w:cs="宋体"/>
      <w:kern w:val="2"/>
      <w:sz w:val="24"/>
      <w:szCs w:val="22"/>
      <w:lang w:val="en-US" w:eastAsia="zh-CN" w:bidi="ar-SA"/>
    </w:rPr>
  </w:style>
  <w:style w:type="paragraph" w:customStyle="1" w:styleId="17">
    <w:name w:val="S-正文"/>
    <w:basedOn w:val="1"/>
    <w:autoRedefine/>
    <w:qFormat/>
    <w:uiPriority w:val="0"/>
    <w:pPr>
      <w:ind w:firstLine="600"/>
    </w:pPr>
    <w:rPr>
      <w:rFonts w:eastAsia="仿宋_GB2312"/>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1620</Words>
  <Characters>1834</Characters>
  <Lines>0</Lines>
  <Paragraphs>0</Paragraphs>
  <TotalTime>0</TotalTime>
  <ScaleCrop>false</ScaleCrop>
  <LinksUpToDate>false</LinksUpToDate>
  <CharactersWithSpaces>1845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2023-07-25T01:56:00Z</dcterms:created>
  <dc:creator>JAQ</dc:creator>
  <cp:lastModifiedBy>范丹</cp:lastModifiedBy>
  <cp:lastPrinted>2023-08-01T08:26:00Z</cp:lastPrinted>
  <dcterms:modified xsi:type="dcterms:W3CDTF">2025-09-02T05:52:34Z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7F2C7D2BD8934BFB9092EDD61CE19B6B_13</vt:lpwstr>
  </property>
  <property fmtid="{D5CDD505-2E9C-101B-9397-08002B2CF9AE}" pid="4" name="KSOTemplateDocerSaveRecord">
    <vt:lpwstr>eyJoZGlkIjoiM2M0NDJkYjgzOTI0MmQzMTg1YTdkZGE3NGRhMTllMWIiLCJ1c2VySWQiOiI1MTQ5NzgxNDUifQ==</vt:lpwstr>
  </property>
</Properties>
</file>