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BA" w:rsidRDefault="001F27BA" w:rsidP="00834685">
      <w:pPr>
        <w:jc w:val="center"/>
        <w:rPr>
          <w:rFonts w:ascii="方正小标宋简体" w:eastAsia="方正小标宋简体"/>
          <w:sz w:val="44"/>
          <w:szCs w:val="44"/>
        </w:rPr>
      </w:pPr>
    </w:p>
    <w:p w:rsidR="001F27BA" w:rsidRDefault="001F27BA" w:rsidP="00834685">
      <w:pPr>
        <w:jc w:val="center"/>
        <w:rPr>
          <w:rFonts w:ascii="方正小标宋简体" w:eastAsia="方正小标宋简体"/>
          <w:sz w:val="44"/>
          <w:szCs w:val="44"/>
        </w:rPr>
      </w:pPr>
    </w:p>
    <w:p w:rsidR="00FF1D11" w:rsidRDefault="00375A5B" w:rsidP="0083468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75A5B">
        <w:rPr>
          <w:rFonts w:ascii="方正小标宋简体" w:eastAsia="方正小标宋简体" w:hint="eastAsia"/>
          <w:sz w:val="44"/>
          <w:szCs w:val="44"/>
        </w:rPr>
        <w:t>关于调整区房地产开发及公共项目规划</w:t>
      </w:r>
    </w:p>
    <w:p w:rsidR="00FF1D11" w:rsidRDefault="00375A5B" w:rsidP="0083468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75A5B">
        <w:rPr>
          <w:rFonts w:ascii="方正小标宋简体" w:eastAsia="方正小标宋简体" w:hint="eastAsia"/>
          <w:sz w:val="44"/>
          <w:szCs w:val="44"/>
        </w:rPr>
        <w:t>报建税费计算基数有关事项的通知</w:t>
      </w:r>
    </w:p>
    <w:p w:rsidR="00BE0323" w:rsidRPr="00834685" w:rsidRDefault="00FF1D11" w:rsidP="0083468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（征求意见稿）</w:t>
      </w:r>
    </w:p>
    <w:p w:rsidR="00834685" w:rsidRDefault="00834685"/>
    <w:p w:rsidR="00834685" w:rsidRPr="00834685" w:rsidRDefault="00375A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区直属有关单位</w:t>
      </w:r>
      <w:r w:rsidR="00834685" w:rsidRPr="00834685">
        <w:rPr>
          <w:rFonts w:ascii="仿宋_GB2312" w:eastAsia="仿宋_GB2312" w:hint="eastAsia"/>
          <w:sz w:val="32"/>
          <w:szCs w:val="32"/>
        </w:rPr>
        <w:t>：</w:t>
      </w:r>
    </w:p>
    <w:p w:rsidR="00375A5B" w:rsidRPr="00375A5B" w:rsidRDefault="00375A5B" w:rsidP="0019392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5A5B">
        <w:rPr>
          <w:rFonts w:ascii="仿宋_GB2312" w:eastAsia="仿宋_GB2312"/>
          <w:sz w:val="32"/>
          <w:szCs w:val="32"/>
        </w:rPr>
        <w:t>近年来，建设工程造价成本不断增加，为了规范建设工程管理，准确反映近年我市建设工程造价的现状，经</w:t>
      </w:r>
      <w:r>
        <w:rPr>
          <w:rFonts w:ascii="仿宋_GB2312" w:eastAsia="仿宋_GB2312"/>
          <w:sz w:val="32"/>
          <w:szCs w:val="32"/>
        </w:rPr>
        <w:t>区</w:t>
      </w:r>
      <w:r w:rsidRPr="00375A5B">
        <w:rPr>
          <w:rFonts w:ascii="仿宋_GB2312" w:eastAsia="仿宋_GB2312"/>
          <w:sz w:val="32"/>
          <w:szCs w:val="32"/>
        </w:rPr>
        <w:t>人民政府同意，决定对</w:t>
      </w:r>
      <w:r>
        <w:rPr>
          <w:rFonts w:ascii="仿宋_GB2312" w:eastAsia="仿宋_GB2312"/>
          <w:sz w:val="32"/>
          <w:szCs w:val="32"/>
        </w:rPr>
        <w:t>城区</w:t>
      </w:r>
      <w:r w:rsidRPr="00375A5B">
        <w:rPr>
          <w:rFonts w:ascii="仿宋_GB2312" w:eastAsia="仿宋_GB2312"/>
          <w:sz w:val="32"/>
          <w:szCs w:val="32"/>
        </w:rPr>
        <w:t>房地产开发及公建项目报建税费的计算基数作调整，具体执行的计算基数参照《</w:t>
      </w:r>
      <w:r w:rsidR="00193923">
        <w:rPr>
          <w:rFonts w:ascii="仿宋_GB2312" w:eastAsia="仿宋_GB2312"/>
          <w:sz w:val="32"/>
          <w:szCs w:val="32"/>
        </w:rPr>
        <w:t>阳东</w:t>
      </w:r>
      <w:r w:rsidRPr="00375A5B">
        <w:rPr>
          <w:rFonts w:ascii="仿宋_GB2312" w:eastAsia="仿宋_GB2312"/>
          <w:sz w:val="32"/>
          <w:szCs w:val="32"/>
        </w:rPr>
        <w:t>区房地产开发及公建项目报建税费计算基数表》。本通知自2023年</w:t>
      </w:r>
      <w:r w:rsidR="00193923">
        <w:rPr>
          <w:rFonts w:ascii="仿宋_GB2312" w:eastAsia="仿宋_GB2312" w:hint="eastAsia"/>
          <w:sz w:val="32"/>
          <w:szCs w:val="32"/>
        </w:rPr>
        <w:t>10</w:t>
      </w:r>
      <w:r w:rsidRPr="00375A5B">
        <w:rPr>
          <w:rFonts w:ascii="仿宋_GB2312" w:eastAsia="仿宋_GB2312"/>
          <w:sz w:val="32"/>
          <w:szCs w:val="32"/>
        </w:rPr>
        <w:t>月</w:t>
      </w:r>
      <w:r w:rsidR="00193923">
        <w:rPr>
          <w:rFonts w:ascii="仿宋_GB2312" w:eastAsia="仿宋_GB2312"/>
          <w:sz w:val="32"/>
          <w:szCs w:val="32"/>
        </w:rPr>
        <w:t>1</w:t>
      </w:r>
      <w:r w:rsidRPr="00375A5B">
        <w:rPr>
          <w:rFonts w:ascii="仿宋_GB2312" w:eastAsia="仿宋_GB2312"/>
          <w:sz w:val="32"/>
          <w:szCs w:val="32"/>
        </w:rPr>
        <w:t>日起施行，有效期</w:t>
      </w:r>
      <w:r w:rsidR="00193923">
        <w:rPr>
          <w:rFonts w:ascii="仿宋_GB2312" w:eastAsia="仿宋_GB2312" w:hint="eastAsia"/>
          <w:sz w:val="32"/>
          <w:szCs w:val="32"/>
        </w:rPr>
        <w:t>5</w:t>
      </w:r>
      <w:r w:rsidRPr="00375A5B">
        <w:rPr>
          <w:rFonts w:ascii="仿宋_GB2312" w:eastAsia="仿宋_GB2312"/>
          <w:sz w:val="32"/>
          <w:szCs w:val="32"/>
        </w:rPr>
        <w:t>年，</w:t>
      </w:r>
      <w:r w:rsidR="00193923">
        <w:rPr>
          <w:rFonts w:ascii="仿宋_GB2312" w:eastAsia="仿宋_GB2312"/>
          <w:sz w:val="32"/>
          <w:szCs w:val="32"/>
        </w:rPr>
        <w:t>在有效期内，可根据实际情况按规定进行修改或废止。我区</w:t>
      </w:r>
      <w:r w:rsidRPr="00375A5B">
        <w:rPr>
          <w:rFonts w:ascii="仿宋_GB2312" w:eastAsia="仿宋_GB2312"/>
          <w:sz w:val="32"/>
          <w:szCs w:val="32"/>
        </w:rPr>
        <w:t>之前相关规定与本通知不一致的，以本通知为准。</w:t>
      </w:r>
    </w:p>
    <w:p w:rsidR="001F27BA" w:rsidRPr="00375A5B" w:rsidRDefault="001F27BA" w:rsidP="0083468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F27BA" w:rsidRDefault="001F27BA" w:rsidP="0083468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4685" w:rsidRDefault="001F27BA" w:rsidP="001F27B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阳江市阳东区住房和城乡建设局</w:t>
      </w:r>
    </w:p>
    <w:p w:rsidR="001F27BA" w:rsidRDefault="001F27BA" w:rsidP="001F27BA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9A192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9A192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F8422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34685" w:rsidRDefault="00834685" w:rsidP="0083468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93923" w:rsidRDefault="00193923" w:rsidP="009D1729">
      <w:pPr>
        <w:rPr>
          <w:rFonts w:ascii="仿宋_GB2312" w:eastAsia="仿宋_GB2312"/>
          <w:sz w:val="32"/>
          <w:szCs w:val="32"/>
        </w:rPr>
      </w:pPr>
    </w:p>
    <w:p w:rsidR="003120E8" w:rsidRPr="00A13D7D" w:rsidRDefault="003120E8" w:rsidP="003120E8">
      <w:pPr>
        <w:spacing w:before="113" w:line="224" w:lineRule="auto"/>
        <w:rPr>
          <w:rFonts w:ascii="仿宋_GB2312" w:eastAsia="仿宋_GB2312" w:hAnsi="SimHei" w:cs="SimHei" w:hint="eastAsia"/>
          <w:sz w:val="32"/>
          <w:szCs w:val="32"/>
        </w:rPr>
      </w:pPr>
      <w:r w:rsidRPr="00A13D7D">
        <w:rPr>
          <w:rFonts w:ascii="仿宋_GB2312" w:eastAsia="仿宋_GB2312" w:hAnsi="SimHei" w:cs="SimHei" w:hint="eastAsia"/>
          <w:spacing w:val="3"/>
          <w:sz w:val="32"/>
          <w:szCs w:val="32"/>
        </w:rPr>
        <w:lastRenderedPageBreak/>
        <w:t>附件</w:t>
      </w:r>
    </w:p>
    <w:p w:rsidR="003120E8" w:rsidRPr="00A13D7D" w:rsidRDefault="003120E8" w:rsidP="003120E8">
      <w:pPr>
        <w:spacing w:before="55" w:line="209" w:lineRule="auto"/>
        <w:jc w:val="center"/>
        <w:rPr>
          <w:rFonts w:ascii="方正小标宋简体" w:eastAsia="方正小标宋简体" w:hAnsi="SimSun" w:cs="SimSun" w:hint="eastAsia"/>
          <w:bCs/>
          <w:spacing w:val="-4"/>
          <w:sz w:val="36"/>
          <w:szCs w:val="36"/>
        </w:rPr>
      </w:pPr>
      <w:r w:rsidRPr="00A13D7D">
        <w:rPr>
          <w:rFonts w:ascii="方正小标宋简体" w:eastAsia="方正小标宋简体" w:hAnsi="SimSun" w:cs="SimSun" w:hint="eastAsia"/>
          <w:bCs/>
          <w:spacing w:val="-4"/>
          <w:sz w:val="36"/>
          <w:szCs w:val="36"/>
        </w:rPr>
        <w:t>阳东区房地产开发及公建项目报建税费计算基数表</w:t>
      </w:r>
    </w:p>
    <w:tbl>
      <w:tblPr>
        <w:tblStyle w:val="TableNormal"/>
        <w:tblpPr w:leftFromText="180" w:rightFromText="180" w:vertAnchor="text" w:horzAnchor="margin" w:tblpXSpec="center" w:tblpY="71"/>
        <w:tblW w:w="9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031"/>
        <w:gridCol w:w="2008"/>
        <w:gridCol w:w="2481"/>
        <w:gridCol w:w="2139"/>
      </w:tblGrid>
      <w:tr w:rsidR="003120E8" w:rsidRPr="005F32CE" w:rsidTr="003120E8">
        <w:trPr>
          <w:trHeight w:val="984"/>
        </w:trPr>
        <w:tc>
          <w:tcPr>
            <w:tcW w:w="85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203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工程名称</w:t>
            </w: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建筑层数</w:t>
            </w:r>
          </w:p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（地上层数）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工程造价计算基数</w:t>
            </w:r>
          </w:p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(元/平方米)</w:t>
            </w:r>
          </w:p>
        </w:tc>
        <w:tc>
          <w:tcPr>
            <w:tcW w:w="2139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备注</w:t>
            </w:r>
          </w:p>
        </w:tc>
      </w:tr>
      <w:tr w:rsidR="003120E8" w:rsidRPr="005F32CE" w:rsidTr="003120E8">
        <w:trPr>
          <w:trHeight w:val="390"/>
        </w:trPr>
        <w:tc>
          <w:tcPr>
            <w:tcW w:w="85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</w:t>
            </w:r>
          </w:p>
        </w:tc>
        <w:tc>
          <w:tcPr>
            <w:tcW w:w="203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地下室</w:t>
            </w: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3000</w:t>
            </w:r>
          </w:p>
        </w:tc>
        <w:tc>
          <w:tcPr>
            <w:tcW w:w="2139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69"/>
        </w:trPr>
        <w:tc>
          <w:tcPr>
            <w:tcW w:w="85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</w:t>
            </w:r>
          </w:p>
        </w:tc>
        <w:tc>
          <w:tcPr>
            <w:tcW w:w="203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住宅(商住)楼</w:t>
            </w: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1～3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2500</w:t>
            </w:r>
          </w:p>
        </w:tc>
        <w:tc>
          <w:tcPr>
            <w:tcW w:w="2139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兼作商场的，对商场部分的建筑面积另增加600元/平方米。</w:t>
            </w:r>
          </w:p>
        </w:tc>
      </w:tr>
      <w:tr w:rsidR="003120E8" w:rsidRPr="005F32CE" w:rsidTr="003120E8">
        <w:trPr>
          <w:trHeight w:val="34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4～6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2300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3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7～9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2400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4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10～15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2500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4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16～20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2600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39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21～25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2700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4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26～30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2800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39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31～35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2900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3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36～40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3000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989"/>
        </w:trPr>
        <w:tc>
          <w:tcPr>
            <w:tcW w:w="85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40层以上的，5层为一步距，每增加一步距加造价100元/平方米，不足五层按五层计算。</w:t>
            </w:r>
          </w:p>
        </w:tc>
        <w:tc>
          <w:tcPr>
            <w:tcW w:w="2139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40"/>
        </w:trPr>
        <w:tc>
          <w:tcPr>
            <w:tcW w:w="85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3</w:t>
            </w:r>
          </w:p>
        </w:tc>
        <w:tc>
          <w:tcPr>
            <w:tcW w:w="203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商务楼、写字楼</w:t>
            </w: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1～6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2300</w:t>
            </w:r>
          </w:p>
        </w:tc>
        <w:tc>
          <w:tcPr>
            <w:tcW w:w="2139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兼作商场的，对商场部分的建筑面积另增加600元/平方米。</w:t>
            </w:r>
          </w:p>
        </w:tc>
      </w:tr>
      <w:tr w:rsidR="003120E8" w:rsidRPr="005F32CE" w:rsidTr="003120E8">
        <w:trPr>
          <w:trHeight w:val="34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7～9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2400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5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10～15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2500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5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16～20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2600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39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21～25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2700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4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26～30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2800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3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31～35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2900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4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36～40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3000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1039"/>
        </w:trPr>
        <w:tc>
          <w:tcPr>
            <w:tcW w:w="85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40层以上的，5层为一步距，每增加一步距加造价100元/平方米，不足五层按五层计算。</w:t>
            </w:r>
          </w:p>
        </w:tc>
        <w:tc>
          <w:tcPr>
            <w:tcW w:w="2139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9"/>
        </w:trPr>
        <w:tc>
          <w:tcPr>
            <w:tcW w:w="85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4</w:t>
            </w:r>
          </w:p>
        </w:tc>
        <w:tc>
          <w:tcPr>
            <w:tcW w:w="203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办公楼</w:t>
            </w: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1～6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2300</w:t>
            </w:r>
          </w:p>
        </w:tc>
        <w:tc>
          <w:tcPr>
            <w:tcW w:w="2139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39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7～9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2400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9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10～15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2500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33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16～20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2600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519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21～25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2700</w:t>
            </w:r>
          </w:p>
        </w:tc>
        <w:tc>
          <w:tcPr>
            <w:tcW w:w="21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34"/>
        </w:trPr>
        <w:tc>
          <w:tcPr>
            <w:tcW w:w="85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26～30</w:t>
            </w:r>
          </w:p>
        </w:tc>
        <w:tc>
          <w:tcPr>
            <w:tcW w:w="2481" w:type="dxa"/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2800</w:t>
            </w:r>
          </w:p>
        </w:tc>
        <w:tc>
          <w:tcPr>
            <w:tcW w:w="2139" w:type="dxa"/>
            <w:vMerge/>
            <w:tcBorders>
              <w:top w:val="none" w:sz="2" w:space="0" w:color="000000"/>
            </w:tcBorders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Spec="center" w:tblpY="1141"/>
        <w:tblW w:w="9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43"/>
        <w:gridCol w:w="1998"/>
        <w:gridCol w:w="2380"/>
        <w:gridCol w:w="2239"/>
      </w:tblGrid>
      <w:tr w:rsidR="003120E8" w:rsidRPr="005F32CE" w:rsidTr="003120E8">
        <w:trPr>
          <w:trHeight w:val="455"/>
        </w:trPr>
        <w:tc>
          <w:tcPr>
            <w:tcW w:w="85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182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3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20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2"/>
                <w:sz w:val="24"/>
                <w:szCs w:val="24"/>
              </w:rPr>
              <w:t>宾馆、酒店</w:t>
            </w: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0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1～6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6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2600</w:t>
            </w:r>
          </w:p>
        </w:tc>
        <w:tc>
          <w:tcPr>
            <w:tcW w:w="2239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E5D5E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6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7～9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1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2700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5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4"/>
                <w:sz w:val="24"/>
                <w:szCs w:val="24"/>
              </w:rPr>
              <w:t>10～15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1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2900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9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5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4"/>
                <w:sz w:val="24"/>
                <w:szCs w:val="24"/>
              </w:rPr>
              <w:t>16～20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1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3000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7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6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2"/>
                <w:sz w:val="24"/>
                <w:szCs w:val="24"/>
              </w:rPr>
              <w:t>21～25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81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3100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77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2"/>
                <w:sz w:val="24"/>
                <w:szCs w:val="24"/>
              </w:rPr>
              <w:t>26～30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2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3200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869"/>
        </w:trPr>
        <w:tc>
          <w:tcPr>
            <w:tcW w:w="85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3120E8" w:rsidRPr="005F32CE" w:rsidRDefault="003120E8" w:rsidP="003120E8">
            <w:pPr>
              <w:spacing w:before="62" w:line="220" w:lineRule="auto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2"/>
                <w:sz w:val="24"/>
                <w:szCs w:val="24"/>
              </w:rPr>
              <w:t>40层以上的，5层为一步距，每增加一步距加造价100元/平方米，不足五层按五层计算。</w:t>
            </w:r>
          </w:p>
        </w:tc>
        <w:tc>
          <w:tcPr>
            <w:tcW w:w="2239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0"/>
        </w:trPr>
        <w:tc>
          <w:tcPr>
            <w:tcW w:w="85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1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z w:val="24"/>
                <w:szCs w:val="24"/>
              </w:rPr>
              <w:t>6</w:t>
            </w:r>
          </w:p>
        </w:tc>
        <w:tc>
          <w:tcPr>
            <w:tcW w:w="2143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学生公寓</w:t>
            </w:r>
          </w:p>
          <w:p w:rsidR="003120E8" w:rsidRPr="005F32CE" w:rsidRDefault="003120E8" w:rsidP="003120E8">
            <w:pPr>
              <w:spacing w:before="104" w:line="219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5"/>
                <w:sz w:val="24"/>
                <w:szCs w:val="24"/>
              </w:rPr>
              <w:t>(学生宿舍楼)</w:t>
            </w: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77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1～6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3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2500</w:t>
            </w:r>
          </w:p>
        </w:tc>
        <w:tc>
          <w:tcPr>
            <w:tcW w:w="2239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9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8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7～9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3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2600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8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4"/>
                <w:sz w:val="24"/>
                <w:szCs w:val="24"/>
              </w:rPr>
              <w:t>10～15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4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2700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9"/>
        </w:trPr>
        <w:tc>
          <w:tcPr>
            <w:tcW w:w="85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8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4"/>
                <w:sz w:val="24"/>
                <w:szCs w:val="24"/>
              </w:rPr>
              <w:t>16～20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4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2800</w:t>
            </w:r>
          </w:p>
        </w:tc>
        <w:tc>
          <w:tcPr>
            <w:tcW w:w="2239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182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z w:val="24"/>
                <w:szCs w:val="24"/>
              </w:rPr>
              <w:t>7</w:t>
            </w:r>
          </w:p>
        </w:tc>
        <w:tc>
          <w:tcPr>
            <w:tcW w:w="2143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219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教学楼</w:t>
            </w: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9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1～6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5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2300</w:t>
            </w:r>
          </w:p>
        </w:tc>
        <w:tc>
          <w:tcPr>
            <w:tcW w:w="2239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0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7～9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5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2400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9"/>
        </w:trPr>
        <w:tc>
          <w:tcPr>
            <w:tcW w:w="85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9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4"/>
                <w:sz w:val="24"/>
                <w:szCs w:val="24"/>
              </w:rPr>
              <w:t>10～15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5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2500</w:t>
            </w:r>
          </w:p>
        </w:tc>
        <w:tc>
          <w:tcPr>
            <w:tcW w:w="2239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739"/>
        </w:trPr>
        <w:tc>
          <w:tcPr>
            <w:tcW w:w="851" w:type="dxa"/>
            <w:vAlign w:val="center"/>
          </w:tcPr>
          <w:p w:rsidR="003120E8" w:rsidRPr="005F32CE" w:rsidRDefault="003120E8" w:rsidP="003120E8">
            <w:pPr>
              <w:spacing w:before="62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z w:val="24"/>
                <w:szCs w:val="24"/>
              </w:rPr>
              <w:t>8</w:t>
            </w:r>
          </w:p>
        </w:tc>
        <w:tc>
          <w:tcPr>
            <w:tcW w:w="2143" w:type="dxa"/>
            <w:vAlign w:val="center"/>
          </w:tcPr>
          <w:p w:rsidR="003120E8" w:rsidRPr="005F32CE" w:rsidRDefault="003120E8" w:rsidP="003120E8">
            <w:pPr>
              <w:spacing w:before="143" w:line="229" w:lineRule="auto"/>
              <w:ind w:right="304"/>
              <w:jc w:val="center"/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3"/>
                <w:sz w:val="24"/>
                <w:szCs w:val="24"/>
              </w:rPr>
              <w:t>公共食堂</w:t>
            </w:r>
          </w:p>
          <w:p w:rsidR="003120E8" w:rsidRPr="005F32CE" w:rsidRDefault="003120E8" w:rsidP="003120E8">
            <w:pPr>
              <w:spacing w:before="143" w:line="229" w:lineRule="auto"/>
              <w:ind w:right="304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8"/>
                <w:sz w:val="24"/>
                <w:szCs w:val="24"/>
              </w:rPr>
              <w:t>(师生食堂)</w:t>
            </w: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62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1～6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316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2400</w:t>
            </w:r>
          </w:p>
        </w:tc>
        <w:tc>
          <w:tcPr>
            <w:tcW w:w="2239" w:type="dxa"/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9"/>
        </w:trPr>
        <w:tc>
          <w:tcPr>
            <w:tcW w:w="85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z w:val="24"/>
                <w:szCs w:val="24"/>
              </w:rPr>
              <w:t>9</w:t>
            </w:r>
          </w:p>
        </w:tc>
        <w:tc>
          <w:tcPr>
            <w:tcW w:w="2143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1" w:line="219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1"/>
                <w:sz w:val="24"/>
                <w:szCs w:val="24"/>
              </w:rPr>
              <w:t>门诊楼、住院楼</w:t>
            </w: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1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1～6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7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2600</w:t>
            </w:r>
          </w:p>
        </w:tc>
        <w:tc>
          <w:tcPr>
            <w:tcW w:w="2239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3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7～9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8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2700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2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4"/>
                <w:sz w:val="24"/>
                <w:szCs w:val="24"/>
              </w:rPr>
              <w:t>10～15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8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2800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9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2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4"/>
                <w:sz w:val="24"/>
                <w:szCs w:val="24"/>
              </w:rPr>
              <w:t>16～20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8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2900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3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2"/>
                <w:sz w:val="24"/>
                <w:szCs w:val="24"/>
              </w:rPr>
              <w:t>21～25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94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3000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84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2"/>
                <w:sz w:val="24"/>
                <w:szCs w:val="24"/>
              </w:rPr>
              <w:t>26～30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8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3100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45"/>
        </w:trPr>
        <w:tc>
          <w:tcPr>
            <w:tcW w:w="85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3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2"/>
                <w:sz w:val="24"/>
                <w:szCs w:val="24"/>
              </w:rPr>
              <w:t>31～35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9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3200</w:t>
            </w:r>
          </w:p>
        </w:tc>
        <w:tc>
          <w:tcPr>
            <w:tcW w:w="2239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59"/>
        </w:trPr>
        <w:tc>
          <w:tcPr>
            <w:tcW w:w="851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2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10</w:t>
            </w:r>
          </w:p>
        </w:tc>
        <w:tc>
          <w:tcPr>
            <w:tcW w:w="2143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spacing w:before="61" w:line="219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11"/>
                <w:sz w:val="24"/>
                <w:szCs w:val="24"/>
              </w:rPr>
              <w:t>车间、</w:t>
            </w:r>
          </w:p>
          <w:p w:rsidR="003120E8" w:rsidRPr="005F32CE" w:rsidRDefault="003120E8" w:rsidP="003120E8">
            <w:pPr>
              <w:spacing w:before="115" w:line="220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厂房、</w:t>
            </w:r>
          </w:p>
          <w:p w:rsidR="003120E8" w:rsidRPr="005F32CE" w:rsidRDefault="003120E8" w:rsidP="003120E8">
            <w:pPr>
              <w:spacing w:before="115" w:line="220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2"/>
                <w:sz w:val="24"/>
                <w:szCs w:val="24"/>
              </w:rPr>
              <w:t>仓库</w:t>
            </w:r>
            <w:r w:rsidRPr="005F32CE">
              <w:rPr>
                <w:rFonts w:ascii="仿宋_GB2312" w:eastAsia="仿宋_GB2312" w:hAnsi="SimSun" w:cs="SimSun" w:hint="eastAsia"/>
                <w:color w:val="FFFFFF" w:themeColor="background1"/>
                <w:spacing w:val="-2"/>
                <w:sz w:val="24"/>
                <w:szCs w:val="24"/>
              </w:rPr>
              <w:t>、</w:t>
            </w: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3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8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1800</w:t>
            </w:r>
          </w:p>
        </w:tc>
        <w:tc>
          <w:tcPr>
            <w:tcW w:w="2239" w:type="dxa"/>
            <w:vMerge w:val="restart"/>
            <w:tcBorders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5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2～6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9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1700</w:t>
            </w:r>
          </w:p>
        </w:tc>
        <w:tc>
          <w:tcPr>
            <w:tcW w:w="223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460"/>
        </w:trPr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195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7～9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179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6"/>
                <w:sz w:val="24"/>
                <w:szCs w:val="24"/>
              </w:rPr>
              <w:t>1800</w:t>
            </w:r>
          </w:p>
        </w:tc>
        <w:tc>
          <w:tcPr>
            <w:tcW w:w="2239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0E8" w:rsidRPr="005F32CE" w:rsidTr="003120E8">
        <w:trPr>
          <w:trHeight w:val="524"/>
        </w:trPr>
        <w:tc>
          <w:tcPr>
            <w:tcW w:w="851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one" w:sz="2" w:space="0" w:color="000000"/>
            </w:tcBorders>
            <w:vAlign w:val="center"/>
          </w:tcPr>
          <w:p w:rsidR="003120E8" w:rsidRPr="005F32CE" w:rsidRDefault="003120E8" w:rsidP="003120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120E8" w:rsidRPr="005F32CE" w:rsidRDefault="003120E8" w:rsidP="003120E8">
            <w:pPr>
              <w:spacing w:before="209" w:line="184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:rsidR="003120E8" w:rsidRPr="005F32CE" w:rsidRDefault="003120E8" w:rsidP="003120E8">
            <w:pPr>
              <w:spacing w:before="210" w:line="183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-3"/>
                <w:sz w:val="24"/>
                <w:szCs w:val="24"/>
              </w:rPr>
              <w:t>900</w:t>
            </w:r>
          </w:p>
        </w:tc>
        <w:tc>
          <w:tcPr>
            <w:tcW w:w="2239" w:type="dxa"/>
            <w:vAlign w:val="center"/>
          </w:tcPr>
          <w:p w:rsidR="003120E8" w:rsidRPr="005F32CE" w:rsidRDefault="003120E8" w:rsidP="003120E8">
            <w:pPr>
              <w:spacing w:before="61" w:line="219" w:lineRule="auto"/>
              <w:jc w:val="center"/>
              <w:rPr>
                <w:rFonts w:ascii="仿宋_GB2312" w:eastAsia="仿宋_GB2312" w:hAnsi="SimSun" w:cs="SimSun" w:hint="eastAsia"/>
                <w:sz w:val="24"/>
                <w:szCs w:val="24"/>
              </w:rPr>
            </w:pPr>
            <w:r w:rsidRPr="005F32CE">
              <w:rPr>
                <w:rFonts w:ascii="仿宋_GB2312" w:eastAsia="仿宋_GB2312" w:hAnsi="SimSun" w:cs="SimSun" w:hint="eastAsia"/>
                <w:spacing w:val="1"/>
                <w:sz w:val="24"/>
                <w:szCs w:val="24"/>
              </w:rPr>
              <w:t>钢结构(简易)</w:t>
            </w:r>
          </w:p>
        </w:tc>
      </w:tr>
    </w:tbl>
    <w:p w:rsidR="00193923" w:rsidRPr="003120E8" w:rsidRDefault="00193923" w:rsidP="003120E8">
      <w:pPr>
        <w:spacing w:before="113" w:line="224" w:lineRule="auto"/>
        <w:rPr>
          <w:rFonts w:ascii="SimHei" w:hAnsi="SimHei" w:cs="SimHei" w:hint="eastAsia"/>
          <w:sz w:val="10"/>
          <w:szCs w:val="10"/>
        </w:rPr>
      </w:pPr>
    </w:p>
    <w:sectPr w:rsidR="00193923" w:rsidRPr="003120E8" w:rsidSect="003120E8">
      <w:footerReference w:type="default" r:id="rId6"/>
      <w:pgSz w:w="11906" w:h="16838"/>
      <w:pgMar w:top="1418" w:right="1797" w:bottom="1021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4D" w:rsidRDefault="00FF684D" w:rsidP="00377425">
      <w:r>
        <w:separator/>
      </w:r>
    </w:p>
  </w:endnote>
  <w:endnote w:type="continuationSeparator" w:id="1">
    <w:p w:rsidR="00FF684D" w:rsidRDefault="00FF684D" w:rsidP="0037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880360"/>
      <w:docPartObj>
        <w:docPartGallery w:val="Page Numbers (Bottom of Page)"/>
        <w:docPartUnique/>
      </w:docPartObj>
    </w:sdtPr>
    <w:sdtContent>
      <w:p w:rsidR="00377425" w:rsidRDefault="00970039">
        <w:pPr>
          <w:pStyle w:val="a4"/>
          <w:jc w:val="center"/>
        </w:pPr>
        <w:fldSimple w:instr=" PAGE   \* MERGEFORMAT ">
          <w:r w:rsidR="009D1729" w:rsidRPr="009D1729">
            <w:rPr>
              <w:noProof/>
              <w:lang w:val="zh-CN"/>
            </w:rPr>
            <w:t>3</w:t>
          </w:r>
        </w:fldSimple>
      </w:p>
    </w:sdtContent>
  </w:sdt>
  <w:p w:rsidR="00377425" w:rsidRDefault="003774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4D" w:rsidRDefault="00FF684D" w:rsidP="00377425">
      <w:r>
        <w:separator/>
      </w:r>
    </w:p>
  </w:footnote>
  <w:footnote w:type="continuationSeparator" w:id="1">
    <w:p w:rsidR="00FF684D" w:rsidRDefault="00FF684D" w:rsidP="00377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685"/>
    <w:rsid w:val="000A1FE2"/>
    <w:rsid w:val="00147AFC"/>
    <w:rsid w:val="0016229D"/>
    <w:rsid w:val="00193923"/>
    <w:rsid w:val="001A13F5"/>
    <w:rsid w:val="001F27BA"/>
    <w:rsid w:val="00245E56"/>
    <w:rsid w:val="002E00BF"/>
    <w:rsid w:val="003120E8"/>
    <w:rsid w:val="003170D4"/>
    <w:rsid w:val="00375A5B"/>
    <w:rsid w:val="00377425"/>
    <w:rsid w:val="003A3FDE"/>
    <w:rsid w:val="003E5D5E"/>
    <w:rsid w:val="004137F0"/>
    <w:rsid w:val="00521DAE"/>
    <w:rsid w:val="00573C4F"/>
    <w:rsid w:val="005B1D1F"/>
    <w:rsid w:val="00653BF7"/>
    <w:rsid w:val="00702E93"/>
    <w:rsid w:val="00731BBA"/>
    <w:rsid w:val="007E59DA"/>
    <w:rsid w:val="00834685"/>
    <w:rsid w:val="00874BB6"/>
    <w:rsid w:val="008C008B"/>
    <w:rsid w:val="008D56E2"/>
    <w:rsid w:val="00917500"/>
    <w:rsid w:val="009508C0"/>
    <w:rsid w:val="00970039"/>
    <w:rsid w:val="009A1928"/>
    <w:rsid w:val="009D1729"/>
    <w:rsid w:val="00A13D7D"/>
    <w:rsid w:val="00B66831"/>
    <w:rsid w:val="00BA7458"/>
    <w:rsid w:val="00BB0020"/>
    <w:rsid w:val="00BE0323"/>
    <w:rsid w:val="00C038D2"/>
    <w:rsid w:val="00C45D01"/>
    <w:rsid w:val="00D4455E"/>
    <w:rsid w:val="00D9113A"/>
    <w:rsid w:val="00E27923"/>
    <w:rsid w:val="00E470C6"/>
    <w:rsid w:val="00ED4863"/>
    <w:rsid w:val="00F8422C"/>
    <w:rsid w:val="00F857CE"/>
    <w:rsid w:val="00FC26DA"/>
    <w:rsid w:val="00FF1D1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42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93923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196</Words>
  <Characters>1119</Characters>
  <Application>Microsoft Office Word</Application>
  <DocSecurity>0</DocSecurity>
  <Lines>9</Lines>
  <Paragraphs>2</Paragraphs>
  <ScaleCrop>false</ScaleCrop>
  <Company>Organization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11</cp:revision>
  <cp:lastPrinted>2023-10-11T02:51:00Z</cp:lastPrinted>
  <dcterms:created xsi:type="dcterms:W3CDTF">2023-10-10T08:34:00Z</dcterms:created>
  <dcterms:modified xsi:type="dcterms:W3CDTF">2023-10-19T03:25:00Z</dcterms:modified>
</cp:coreProperties>
</file>